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764" w:rsidRDefault="00DE2A9F" w:rsidP="006B4C7E">
      <w:pPr>
        <w:pStyle w:val="Heading1"/>
        <w:rPr>
          <w:rFonts w:cs="Arial"/>
        </w:rPr>
      </w:pPr>
      <w:r w:rsidRPr="00C8195B">
        <w:rPr>
          <w:rFonts w:cs="Arial"/>
        </w:rPr>
        <w:t xml:space="preserve">Equity profile </w:t>
      </w:r>
      <w:bookmarkStart w:id="0" w:name="OLE_LINK1"/>
      <w:r w:rsidR="0031124D" w:rsidRPr="0031124D">
        <w:t>Lebanon</w:t>
      </w:r>
      <w:bookmarkEnd w:id="0"/>
    </w:p>
    <w:p w:rsidR="00A73A23" w:rsidRPr="00A73A23" w:rsidRDefault="00A73A23" w:rsidP="00A73A23">
      <w:pPr>
        <w:rPr>
          <w:rFonts w:cs="Arial"/>
          <w:szCs w:val="18"/>
        </w:rPr>
      </w:pPr>
      <w:r w:rsidRPr="00A73A23">
        <w:rPr>
          <w:rFonts w:cs="Arial"/>
          <w:szCs w:val="18"/>
        </w:rPr>
        <w:t>This analysis is based on a methodology developed from 2010 and 2020</w:t>
      </w:r>
      <w:r w:rsidRPr="00A73A23">
        <w:rPr>
          <w:rFonts w:cs="Arial"/>
          <w:szCs w:val="18"/>
          <w:vertAlign w:val="superscript"/>
        </w:rPr>
        <w:footnoteReference w:id="1"/>
      </w:r>
      <w:r w:rsidRPr="00A73A23">
        <w:rPr>
          <w:rFonts w:cs="Arial"/>
          <w:szCs w:val="18"/>
          <w:vertAlign w:val="superscript"/>
        </w:rPr>
        <w:t xml:space="preserve"> </w:t>
      </w:r>
      <w:r w:rsidRPr="00A73A23">
        <w:rPr>
          <w:rFonts w:cs="Arial"/>
          <w:szCs w:val="18"/>
          <w:vertAlign w:val="superscript"/>
        </w:rPr>
        <w:footnoteReference w:id="2"/>
      </w:r>
      <w:r w:rsidRPr="00A73A23">
        <w:rPr>
          <w:rFonts w:cs="Arial"/>
          <w:szCs w:val="18"/>
        </w:rPr>
        <w:t xml:space="preserve"> </w:t>
      </w:r>
      <w:r w:rsidRPr="00A73A23">
        <w:rPr>
          <w:rFonts w:cs="Arial"/>
          <w:szCs w:val="18"/>
          <w:vertAlign w:val="superscript"/>
        </w:rPr>
        <w:footnoteReference w:id="3"/>
      </w:r>
      <w:r w:rsidRPr="00A73A23">
        <w:rPr>
          <w:rFonts w:cs="Arial"/>
          <w:szCs w:val="18"/>
        </w:rPr>
        <w:t xml:space="preserve">.It uses international data sources to identify global wellbeing references, identifies the levels replicable to all and estimates the deficit from those by country, time-period, sex and age group. </w:t>
      </w:r>
    </w:p>
    <w:p w:rsidR="00A73A23" w:rsidRPr="00A73A23" w:rsidRDefault="00A73A23" w:rsidP="00A73A23">
      <w:pPr>
        <w:rPr>
          <w:rFonts w:cs="Arial"/>
          <w:szCs w:val="18"/>
        </w:rPr>
      </w:pPr>
      <w:r w:rsidRPr="00A73A23">
        <w:rPr>
          <w:rFonts w:cs="Arial"/>
          <w:szCs w:val="18"/>
        </w:rPr>
        <w:t>This new way of looking at a country’s performance on ecology, economy and wellbeing within the feasible and sustainable parameters, can stimulate further subnational analysis and more precise and useful elements to drive local, national and international policies towards equity.</w:t>
      </w:r>
    </w:p>
    <w:p w:rsidR="00A73A23" w:rsidRPr="00A73A23" w:rsidRDefault="00A73A23" w:rsidP="00A73A23">
      <w:pPr>
        <w:spacing w:after="0"/>
        <w:rPr>
          <w:rFonts w:eastAsiaTheme="majorEastAsia" w:cs="Arial"/>
          <w:b/>
          <w:szCs w:val="18"/>
          <w:u w:val="single"/>
        </w:rPr>
      </w:pPr>
      <w:r w:rsidRPr="00A73A23">
        <w:rPr>
          <w:rFonts w:eastAsiaTheme="majorEastAsia" w:cs="Arial"/>
          <w:b/>
          <w:szCs w:val="18"/>
          <w:u w:val="single"/>
        </w:rPr>
        <w:t>Methodology</w:t>
      </w:r>
    </w:p>
    <w:p w:rsidR="00A73A23" w:rsidRPr="00A73A23" w:rsidRDefault="00A73A23" w:rsidP="00A73A23">
      <w:pPr>
        <w:jc w:val="both"/>
        <w:rPr>
          <w:rFonts w:cs="Arial"/>
          <w:szCs w:val="18"/>
        </w:rPr>
      </w:pPr>
      <w:r w:rsidRPr="00A73A23">
        <w:rPr>
          <w:rFonts w:cs="Arial"/>
          <w:szCs w:val="18"/>
        </w:rPr>
        <w:t>The only global health objective agreed by all countries is the constitution of the World Health Organization, which aims at the “</w:t>
      </w:r>
      <w:r w:rsidRPr="00A73A23">
        <w:rPr>
          <w:rFonts w:cs="Arial"/>
          <w:i/>
          <w:szCs w:val="18"/>
        </w:rPr>
        <w:t>best feasible level of health for all</w:t>
      </w:r>
      <w:r w:rsidRPr="00A73A23">
        <w:rPr>
          <w:rFonts w:cs="Arial"/>
          <w:szCs w:val="18"/>
        </w:rPr>
        <w:t xml:space="preserve">”. With international data - from 1960-2020- we identified such “best feasible level of health” and selected countries with good health (life expectancy above world average) with “globally feasible” economic (GDP and wealth pcy &lt; world average) and ecologic conditions (bio capacity &lt; world average and ecological and carbon footprint &lt; sustainable threshold) sustainable in time, hence safeguarding intergenerational equity. </w:t>
      </w:r>
    </w:p>
    <w:p w:rsidR="00A73A23" w:rsidRPr="00A73A23" w:rsidRDefault="00A73A23" w:rsidP="00A73A23">
      <w:pPr>
        <w:jc w:val="both"/>
        <w:rPr>
          <w:rFonts w:cs="Arial"/>
          <w:szCs w:val="18"/>
        </w:rPr>
      </w:pPr>
      <w:r w:rsidRPr="00A73A23">
        <w:rPr>
          <w:rFonts w:cs="Arial"/>
          <w:szCs w:val="18"/>
        </w:rPr>
        <w:t xml:space="preserve">Using those </w:t>
      </w:r>
      <w:r w:rsidRPr="00A73A23">
        <w:rPr>
          <w:rFonts w:cs="Arial"/>
          <w:i/>
          <w:szCs w:val="18"/>
          <w:u w:val="single"/>
        </w:rPr>
        <w:t>healthy, replicable and sustainable</w:t>
      </w:r>
      <w:r w:rsidRPr="00A73A23">
        <w:rPr>
          <w:rFonts w:cs="Arial"/>
          <w:szCs w:val="18"/>
        </w:rPr>
        <w:t xml:space="preserve"> (HRS) models</w:t>
      </w:r>
      <w:r w:rsidRPr="00A73A23">
        <w:rPr>
          <w:rFonts w:cs="Arial"/>
          <w:szCs w:val="18"/>
          <w:vertAlign w:val="superscript"/>
        </w:rPr>
        <w:footnoteReference w:id="4"/>
      </w:r>
      <w:r w:rsidRPr="00A73A23">
        <w:rPr>
          <w:rFonts w:cs="Arial"/>
          <w:szCs w:val="18"/>
        </w:rPr>
        <w:t xml:space="preserve">, we adjusted mortality rates by age and sex published by the UN Population Division every five years. We call the excess mortality above that from the HRS models, the </w:t>
      </w:r>
      <w:r w:rsidRPr="00A73A23">
        <w:rPr>
          <w:rFonts w:cs="Arial"/>
          <w:i/>
          <w:szCs w:val="18"/>
          <w:u w:val="single"/>
        </w:rPr>
        <w:t>burden of health inequity</w:t>
      </w:r>
      <w:r w:rsidRPr="00A73A23">
        <w:rPr>
          <w:rFonts w:cs="Arial"/>
          <w:szCs w:val="18"/>
        </w:rPr>
        <w:t>. The analysis also allows setting the “</w:t>
      </w:r>
      <w:r w:rsidRPr="00A73A23">
        <w:rPr>
          <w:rFonts w:cs="Arial"/>
          <w:i/>
          <w:szCs w:val="18"/>
        </w:rPr>
        <w:t>dignity threshold</w:t>
      </w:r>
      <w:r w:rsidRPr="00A73A23">
        <w:rPr>
          <w:rFonts w:cs="Arial"/>
          <w:szCs w:val="18"/>
        </w:rPr>
        <w:t>” (below which no country has achieved that best feasible health) and the “</w:t>
      </w:r>
      <w:r w:rsidRPr="00A73A23">
        <w:rPr>
          <w:rFonts w:cs="Arial"/>
          <w:i/>
          <w:szCs w:val="18"/>
        </w:rPr>
        <w:t>upper threshold</w:t>
      </w:r>
      <w:r w:rsidRPr="00A73A23">
        <w:rPr>
          <w:rFonts w:cs="Arial"/>
          <w:szCs w:val="18"/>
        </w:rPr>
        <w:t xml:space="preserve">” (above which wellbeing does not improve). Those thresholds frame the </w:t>
      </w:r>
      <w:r w:rsidRPr="00A73A23">
        <w:rPr>
          <w:rFonts w:cs="Arial"/>
          <w:i/>
          <w:szCs w:val="18"/>
        </w:rPr>
        <w:t>equity curve</w:t>
      </w:r>
      <w:r w:rsidRPr="00A73A23">
        <w:rPr>
          <w:rFonts w:cs="Arial"/>
          <w:szCs w:val="18"/>
        </w:rPr>
        <w:t xml:space="preserve"> between both and the level of </w:t>
      </w:r>
      <w:r w:rsidRPr="00A73A23">
        <w:rPr>
          <w:rFonts w:cs="Arial"/>
          <w:i/>
          <w:szCs w:val="18"/>
        </w:rPr>
        <w:t>redistribution required</w:t>
      </w:r>
      <w:r w:rsidRPr="00A73A23">
        <w:rPr>
          <w:rFonts w:cs="Arial"/>
          <w:szCs w:val="18"/>
        </w:rPr>
        <w:t xml:space="preserve"> for those under the dignity threshold (in need of net support) or from those above the upper threshold (ethically responsible for net contribution). </w:t>
      </w:r>
    </w:p>
    <w:p w:rsidR="00132816" w:rsidRPr="00E963F0" w:rsidRDefault="00A73A23" w:rsidP="00A73A23">
      <w:pPr>
        <w:jc w:val="both"/>
        <w:rPr>
          <w:rFonts w:cs="Arial"/>
          <w:szCs w:val="18"/>
        </w:rPr>
      </w:pPr>
      <w:r w:rsidRPr="00A73A23">
        <w:rPr>
          <w:rFonts w:cs="Arial"/>
          <w:szCs w:val="18"/>
        </w:rPr>
        <w:t xml:space="preserve">Taking into account the negative impact on third countries by excess income pc or excess carbon emissions pc, we estimated the </w:t>
      </w:r>
      <w:r w:rsidRPr="00A73A23">
        <w:rPr>
          <w:rFonts w:cs="Arial"/>
          <w:i/>
          <w:szCs w:val="18"/>
        </w:rPr>
        <w:t>Sustainable and Equitable Wellbeing (SEW) Index</w:t>
      </w:r>
      <w:r w:rsidRPr="00A73A23">
        <w:rPr>
          <w:rFonts w:cs="Arial"/>
          <w:i/>
          <w:szCs w:val="18"/>
          <w:vertAlign w:val="superscript"/>
        </w:rPr>
        <w:footnoteReference w:id="5"/>
      </w:r>
      <w:r w:rsidRPr="00A73A23">
        <w:rPr>
          <w:rFonts w:cs="Arial"/>
          <w:i/>
          <w:szCs w:val="18"/>
        </w:rPr>
        <w:t xml:space="preserve">. </w:t>
      </w:r>
      <w:r w:rsidRPr="00A73A23">
        <w:rPr>
          <w:rFonts w:cs="Arial"/>
          <w:szCs w:val="18"/>
        </w:rPr>
        <w:t>The methodology we hereby propose challenges XX</w:t>
      </w:r>
      <w:r w:rsidRPr="00A73A23">
        <w:rPr>
          <w:rFonts w:cs="Arial"/>
          <w:szCs w:val="18"/>
          <w:vertAlign w:val="superscript"/>
        </w:rPr>
        <w:t>th</w:t>
      </w:r>
      <w:r w:rsidRPr="00A73A23">
        <w:rPr>
          <w:rFonts w:cs="Arial"/>
          <w:szCs w:val="18"/>
        </w:rPr>
        <w:t xml:space="preserve"> century concepts such as high income-development models, constant GDP growth, poverty, ODA and the human development index. The hereby suggested “</w:t>
      </w:r>
      <w:r w:rsidRPr="00A73A23">
        <w:rPr>
          <w:rFonts w:cs="Arial"/>
          <w:i/>
          <w:szCs w:val="18"/>
        </w:rPr>
        <w:t>equity lenses</w:t>
      </w:r>
      <w:r w:rsidRPr="00A73A23">
        <w:rPr>
          <w:rFonts w:cs="Arial"/>
          <w:szCs w:val="18"/>
        </w:rPr>
        <w:t xml:space="preserve">” provide a useful tool to identify </w:t>
      </w:r>
      <w:r w:rsidRPr="00A73A23">
        <w:rPr>
          <w:rFonts w:cs="Arial"/>
          <w:i/>
          <w:szCs w:val="18"/>
        </w:rPr>
        <w:t>alternative wellbeing models</w:t>
      </w:r>
      <w:r w:rsidRPr="00A73A23">
        <w:rPr>
          <w:rFonts w:cs="Arial"/>
          <w:szCs w:val="18"/>
        </w:rPr>
        <w:t>, subnational analysis and policies towards territorial and fiscal equity and individual and collective conscious responsibility based on the ethical principle of equity</w:t>
      </w:r>
      <w:r w:rsidR="00132816" w:rsidRPr="00E963F0">
        <w:rPr>
          <w:rFonts w:cs="Arial"/>
          <w:szCs w:val="18"/>
        </w:rPr>
        <w:t>.</w:t>
      </w:r>
    </w:p>
    <w:p w:rsidR="00E963F0" w:rsidRPr="00E963F0" w:rsidRDefault="00E963F0" w:rsidP="00E963F0">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w:t>
      </w:r>
      <w:r w:rsidR="00AD744D">
        <w:rPr>
          <w:color w:val="1F4E79" w:themeColor="accent1" w:themeShade="80"/>
        </w:rPr>
        <w:fldChar w:fldCharType="end"/>
      </w:r>
      <w:r w:rsidRPr="00E963F0">
        <w:rPr>
          <w:color w:val="1F4E79" w:themeColor="accent1" w:themeShade="80"/>
        </w:rPr>
        <w:t xml:space="preserve"> Global equity curve between dignity and excess thresholds allowing best feasible level of health for all</w:t>
      </w:r>
    </w:p>
    <w:p w:rsidR="00E963F0" w:rsidRPr="00E963F0" w:rsidRDefault="00E963F0" w:rsidP="00E963F0">
      <w:pPr>
        <w:jc w:val="center"/>
        <w:rPr>
          <w:rFonts w:cs="Arial"/>
          <w:szCs w:val="18"/>
        </w:rPr>
      </w:pPr>
      <w:r w:rsidRPr="00E963F0">
        <w:rPr>
          <w:noProof/>
          <w:lang w:eastAsia="en-GB"/>
        </w:rPr>
        <w:drawing>
          <wp:inline distT="0" distB="0" distL="0" distR="0" wp14:anchorId="5A07696E" wp14:editId="558E62C4">
            <wp:extent cx="4209861" cy="1619409"/>
            <wp:effectExtent l="171450" t="171450" r="172085" b="1905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9592" t="30344" r="22916" b="30339"/>
                    <a:stretch/>
                  </pic:blipFill>
                  <pic:spPr bwMode="auto">
                    <a:xfrm>
                      <a:off x="0" y="0"/>
                      <a:ext cx="4274504" cy="164427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a:extLst>
                      <a:ext uri="{53640926-AAD7-44D8-BBD7-CCE9431645EC}">
                        <a14:shadowObscured xmlns:a14="http://schemas.microsoft.com/office/drawing/2010/main"/>
                      </a:ext>
                    </a:extLst>
                  </pic:spPr>
                </pic:pic>
              </a:graphicData>
            </a:graphic>
          </wp:inline>
        </w:drawing>
      </w:r>
    </w:p>
    <w:p w:rsidR="00E963F0" w:rsidRDefault="00E963F0" w:rsidP="00132816">
      <w:pPr>
        <w:jc w:val="both"/>
        <w:rPr>
          <w:rFonts w:cs="Arial"/>
          <w:szCs w:val="18"/>
        </w:rPr>
      </w:pPr>
      <w:r w:rsidRPr="00E963F0">
        <w:rPr>
          <w:rFonts w:cs="Arial"/>
          <w:szCs w:val="18"/>
        </w:rPr>
        <w:t>Our ana</w:t>
      </w:r>
      <w:r>
        <w:rPr>
          <w:rFonts w:cs="Arial"/>
          <w:szCs w:val="18"/>
        </w:rPr>
        <w:t xml:space="preserve">lysis reveals that the best levels of wellbeing (through proxy life expectancy) can be achieved within the equity </w:t>
      </w:r>
      <w:r w:rsidR="007754E9">
        <w:rPr>
          <w:rFonts w:cs="Arial"/>
          <w:szCs w:val="18"/>
        </w:rPr>
        <w:t>curve, which accommodates all countries,</w:t>
      </w:r>
      <w:r>
        <w:rPr>
          <w:rFonts w:cs="Arial"/>
          <w:szCs w:val="18"/>
        </w:rPr>
        <w:t xml:space="preserve"> and within</w:t>
      </w:r>
      <w:r w:rsidR="00CC316C">
        <w:rPr>
          <w:rFonts w:cs="Arial"/>
          <w:szCs w:val="18"/>
        </w:rPr>
        <w:t xml:space="preserve"> them</w:t>
      </w:r>
      <w:r w:rsidR="007754E9">
        <w:rPr>
          <w:rFonts w:cs="Arial"/>
          <w:szCs w:val="18"/>
        </w:rPr>
        <w:t>,</w:t>
      </w:r>
      <w:r>
        <w:rPr>
          <w:rFonts w:cs="Arial"/>
          <w:szCs w:val="18"/>
        </w:rPr>
        <w:t xml:space="preserve"> all peoples above the dignity threshold and below the upper threshold</w:t>
      </w:r>
      <w:r w:rsidR="00CC316C">
        <w:rPr>
          <w:rFonts w:cs="Arial"/>
          <w:szCs w:val="18"/>
        </w:rPr>
        <w:t>. In 2020 the equity scope was from 4,000-18,000 GDP pc CV, below which no country could achieve best feasible levels of health (right to health) and above which wellbeing did not improve any further while no country was ecologically sustainable and the excess income prevented others from the right to health.</w:t>
      </w:r>
    </w:p>
    <w:p w:rsidR="00CC316C" w:rsidRDefault="00CC316C" w:rsidP="00CC316C">
      <w:pPr>
        <w:pStyle w:val="Heading2"/>
      </w:pPr>
      <w:r>
        <w:lastRenderedPageBreak/>
        <w:t>Comparison with neighbour countries and other with similar natural and economic means</w:t>
      </w:r>
    </w:p>
    <w:p w:rsidR="00CC316C" w:rsidRPr="00BA3D4A" w:rsidRDefault="00A73A23" w:rsidP="00BA3D4A">
      <w:pPr>
        <w:rPr>
          <w:szCs w:val="18"/>
        </w:rPr>
      </w:pPr>
      <w:r w:rsidRPr="00BA3D4A">
        <w:rPr>
          <w:szCs w:val="18"/>
        </w:rPr>
        <w:t>The first attempt to assess a situation is to compare with others in similar situations and identify the potential to improve. The following table compare the ecological, economic and wellbeing indicators (including the burden of health inequity) with the closes countries (geographically and with historical and cultural links</w:t>
      </w:r>
      <w:r w:rsidRPr="0029636D">
        <w:rPr>
          <w:rFonts w:cs="Arial"/>
          <w:szCs w:val="18"/>
        </w:rPr>
        <w:t>)</w:t>
      </w:r>
      <w:r>
        <w:rPr>
          <w:szCs w:val="18"/>
        </w:rPr>
        <w:t xml:space="preserve"> </w:t>
      </w:r>
      <w:r w:rsidR="005C4DF7" w:rsidRPr="00BA3D4A">
        <w:rPr>
          <w:szCs w:val="18"/>
        </w:rPr>
        <w:t xml:space="preserve">to </w:t>
      </w:r>
      <w:r w:rsidR="0031124D" w:rsidRPr="0031124D">
        <w:rPr>
          <w:szCs w:val="18"/>
          <w:lang w:eastAsia="en-GB"/>
        </w:rPr>
        <w:t>Lebanon</w:t>
      </w:r>
      <w:r w:rsidR="005C4DF7" w:rsidRPr="00BA3D4A">
        <w:rPr>
          <w:szCs w:val="18"/>
        </w:rPr>
        <w:t>:</w:t>
      </w:r>
    </w:p>
    <w:p w:rsidR="00B418EB"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1</w:t>
      </w:r>
      <w:r w:rsidRPr="00E963F0">
        <w:rPr>
          <w:color w:val="1F4E79" w:themeColor="accent1" w:themeShade="80"/>
        </w:rPr>
        <w:fldChar w:fldCharType="end"/>
      </w:r>
      <w:r w:rsidRPr="00E963F0">
        <w:rPr>
          <w:color w:val="1F4E79" w:themeColor="accent1" w:themeShade="80"/>
        </w:rPr>
        <w:t xml:space="preserve"> Comparative analysis </w:t>
      </w:r>
      <w:r w:rsidR="005C4DF7" w:rsidRPr="00E963F0">
        <w:rPr>
          <w:color w:val="1F4E79" w:themeColor="accent1" w:themeShade="80"/>
        </w:rPr>
        <w:t>with</w:t>
      </w:r>
      <w:r w:rsidRPr="00E963F0">
        <w:rPr>
          <w:color w:val="1F4E79" w:themeColor="accent1" w:themeShade="80"/>
        </w:rPr>
        <w:t xml:space="preserve"> neighbouring countries</w:t>
      </w:r>
    </w:p>
    <w:p w:rsidR="00DD01AF" w:rsidRPr="00DD01AF" w:rsidRDefault="004625DF" w:rsidP="00DD01AF">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5pt;height:191.45pt">
            <v:imagedata r:id="rId8" o:title=""/>
          </v:shape>
        </w:pict>
      </w:r>
    </w:p>
    <w:p w:rsidR="00DD01AF" w:rsidRPr="000169D1" w:rsidRDefault="005C4DF7">
      <w:pPr>
        <w:rPr>
          <w:rFonts w:cs="Arial"/>
          <w:szCs w:val="18"/>
        </w:rPr>
      </w:pPr>
      <w:r w:rsidRPr="000169D1">
        <w:rPr>
          <w:rFonts w:cs="Arial"/>
          <w:szCs w:val="18"/>
        </w:rPr>
        <w:t xml:space="preserve">The above table shows how </w:t>
      </w:r>
      <w:r w:rsidR="0031124D" w:rsidRPr="0031124D">
        <w:rPr>
          <w:rFonts w:cs="Arial"/>
          <w:szCs w:val="18"/>
          <w:lang w:eastAsia="en-GB"/>
        </w:rPr>
        <w:t>Lebanon</w:t>
      </w:r>
      <w:r w:rsidRPr="000169D1">
        <w:rPr>
          <w:rFonts w:cs="Arial"/>
          <w:szCs w:val="18"/>
        </w:rPr>
        <w:t xml:space="preserve"> has a bio capacity</w:t>
      </w:r>
      <w:r w:rsidR="00697F5B" w:rsidRPr="000169D1">
        <w:rPr>
          <w:rFonts w:cs="Arial"/>
          <w:szCs w:val="18"/>
        </w:rPr>
        <w:t xml:space="preserve"> </w:t>
      </w:r>
      <w:r w:rsidR="0031124D" w:rsidRPr="0031124D">
        <w:rPr>
          <w:rFonts w:eastAsiaTheme="minorEastAsia" w:cs="Arial"/>
          <w:szCs w:val="18"/>
          <w:lang w:eastAsia="en-GB"/>
        </w:rPr>
        <w:t>between the two</w:t>
      </w:r>
      <w:r w:rsidR="005D78C1" w:rsidRPr="000169D1">
        <w:rPr>
          <w:rFonts w:cs="Arial"/>
          <w:szCs w:val="18"/>
        </w:rPr>
        <w:t xml:space="preserve"> neighbour countries, </w:t>
      </w:r>
      <w:r w:rsidR="0031124D" w:rsidRPr="0031124D">
        <w:rPr>
          <w:rFonts w:eastAsiaTheme="minorEastAsia" w:cs="Arial"/>
          <w:szCs w:val="18"/>
          <w:lang w:eastAsia="en-GB"/>
        </w:rPr>
        <w:t>Israel</w:t>
      </w:r>
      <w:r w:rsidR="005D78C1" w:rsidRPr="000169D1">
        <w:rPr>
          <w:rFonts w:cs="Arial"/>
          <w:szCs w:val="18"/>
        </w:rPr>
        <w:t xml:space="preserve"> and </w:t>
      </w:r>
      <w:r w:rsidR="0031124D" w:rsidRPr="0031124D">
        <w:rPr>
          <w:rFonts w:eastAsiaTheme="minorEastAsia" w:cs="Arial"/>
          <w:szCs w:val="18"/>
          <w:lang w:eastAsia="en-GB"/>
        </w:rPr>
        <w:t>Syrian</w:t>
      </w:r>
      <w:r w:rsidR="0031124D" w:rsidRPr="0031124D">
        <w:rPr>
          <w:rFonts w:ascii="Calibri" w:eastAsiaTheme="minorEastAsia" w:hAnsi="Calibri" w:cs="Calibri"/>
          <w:color w:val="000000"/>
          <w:sz w:val="22"/>
          <w:lang w:eastAsia="en-GB"/>
        </w:rPr>
        <w:t xml:space="preserve"> Arab Republic</w:t>
      </w:r>
      <w:r w:rsidR="005D78C1" w:rsidRPr="000169D1">
        <w:rPr>
          <w:rFonts w:cs="Arial"/>
          <w:szCs w:val="18"/>
        </w:rPr>
        <w:t xml:space="preserve">, </w:t>
      </w:r>
      <w:r w:rsidRPr="000169D1">
        <w:rPr>
          <w:rFonts w:cs="Arial"/>
          <w:szCs w:val="18"/>
        </w:rPr>
        <w:t xml:space="preserve">and economic power (estimated though GDP CV) </w:t>
      </w:r>
      <w:r w:rsidR="0031124D" w:rsidRPr="0031124D">
        <w:rPr>
          <w:rFonts w:eastAsiaTheme="minorEastAsia" w:cs="Arial"/>
          <w:szCs w:val="18"/>
          <w:lang w:eastAsia="en-GB"/>
        </w:rPr>
        <w:t>#DIV/0!</w:t>
      </w:r>
      <w:r w:rsidR="005D78C1" w:rsidRPr="000169D1">
        <w:rPr>
          <w:rFonts w:cs="Arial"/>
          <w:szCs w:val="18"/>
        </w:rPr>
        <w:t xml:space="preserve">. </w:t>
      </w:r>
      <w:r w:rsidR="00BA3D4A" w:rsidRPr="000169D1">
        <w:rPr>
          <w:rFonts w:cs="Arial"/>
          <w:szCs w:val="18"/>
        </w:rPr>
        <w:t xml:space="preserve">It uses natural resources </w:t>
      </w:r>
      <w:r w:rsidR="005D78C1" w:rsidRPr="000169D1">
        <w:rPr>
          <w:rFonts w:cs="Arial"/>
          <w:szCs w:val="18"/>
        </w:rPr>
        <w:t xml:space="preserve">(measured by the ecological footprint) at a rate </w:t>
      </w:r>
      <w:r w:rsidR="0031124D" w:rsidRPr="0031124D">
        <w:rPr>
          <w:rFonts w:eastAsiaTheme="minorEastAsia" w:cs="Arial"/>
          <w:szCs w:val="18"/>
          <w:lang w:eastAsia="en-GB"/>
        </w:rPr>
        <w:t>between the two</w:t>
      </w:r>
      <w:r w:rsidR="005D78C1" w:rsidRPr="000169D1">
        <w:rPr>
          <w:rFonts w:cs="Arial"/>
          <w:szCs w:val="18"/>
        </w:rPr>
        <w:t xml:space="preserve">. </w:t>
      </w:r>
      <w:r w:rsidR="00BA3D4A" w:rsidRPr="000169D1">
        <w:rPr>
          <w:rFonts w:cs="Arial"/>
          <w:szCs w:val="18"/>
        </w:rPr>
        <w:t xml:space="preserve">The level of life expectancy at birth is </w:t>
      </w:r>
      <w:r w:rsidR="0031124D" w:rsidRPr="0031124D">
        <w:rPr>
          <w:rFonts w:eastAsiaTheme="minorEastAsia" w:cs="Arial"/>
          <w:szCs w:val="18"/>
          <w:lang w:eastAsia="en-GB"/>
        </w:rPr>
        <w:t>between the two</w:t>
      </w:r>
      <w:r w:rsidR="005D78C1" w:rsidRPr="000169D1">
        <w:rPr>
          <w:rFonts w:cs="Arial"/>
          <w:szCs w:val="18"/>
        </w:rPr>
        <w:t xml:space="preserve"> neighbour countries. </w:t>
      </w:r>
    </w:p>
    <w:p w:rsidR="00C7100F"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2</w:t>
      </w:r>
      <w:r w:rsidRPr="00E963F0">
        <w:rPr>
          <w:color w:val="1F4E79" w:themeColor="accent1" w:themeShade="80"/>
        </w:rPr>
        <w:fldChar w:fldCharType="end"/>
      </w:r>
      <w:r w:rsidRPr="00E963F0">
        <w:rPr>
          <w:color w:val="1F4E79" w:themeColor="accent1" w:themeShade="80"/>
        </w:rPr>
        <w:t xml:space="preserve"> Comparative analysis with countries of similar natural and economic means</w:t>
      </w:r>
    </w:p>
    <w:p w:rsidR="00DD01AF" w:rsidRPr="00DD01AF" w:rsidRDefault="004625DF" w:rsidP="00DD01AF">
      <w:r>
        <w:pict>
          <v:shape id="_x0000_i1026" type="#_x0000_t75" style="width:414.5pt;height:189.35pt">
            <v:imagedata r:id="rId9" o:title=""/>
          </v:shape>
        </w:pict>
      </w:r>
    </w:p>
    <w:p w:rsidR="00101764" w:rsidRPr="00C148B4" w:rsidRDefault="00A94922" w:rsidP="00EB2495">
      <w:pPr>
        <w:rPr>
          <w:rFonts w:cs="Arial"/>
          <w:szCs w:val="18"/>
        </w:rPr>
      </w:pPr>
      <w:r w:rsidRPr="00C148B4">
        <w:rPr>
          <w:rFonts w:cs="Arial"/>
          <w:szCs w:val="18"/>
        </w:rPr>
        <w:t xml:space="preserve">The countries with closest levels of GDP CV pcy (proxy of average income, subject to subnational inequities) and bio capacity pcy, are </w:t>
      </w:r>
      <w:r w:rsidR="0031124D" w:rsidRPr="0031124D">
        <w:rPr>
          <w:rFonts w:eastAsiaTheme="minorEastAsia" w:cs="Arial"/>
          <w:szCs w:val="18"/>
          <w:lang w:eastAsia="en-GB"/>
        </w:rPr>
        <w:t>Libya</w:t>
      </w:r>
      <w:r w:rsidRPr="00C148B4">
        <w:rPr>
          <w:rFonts w:cs="Arial"/>
          <w:szCs w:val="18"/>
        </w:rPr>
        <w:t xml:space="preserve"> and </w:t>
      </w:r>
      <w:r w:rsidR="0031124D" w:rsidRPr="0031124D">
        <w:rPr>
          <w:rFonts w:eastAsiaTheme="minorEastAsia" w:cs="Arial"/>
          <w:szCs w:val="18"/>
          <w:lang w:eastAsia="en-GB"/>
        </w:rPr>
        <w:t>Dominican</w:t>
      </w:r>
      <w:r w:rsidR="0031124D" w:rsidRPr="0031124D">
        <w:rPr>
          <w:rFonts w:ascii="Calibri" w:eastAsiaTheme="minorEastAsia" w:hAnsi="Calibri" w:cs="Calibri"/>
          <w:color w:val="000000"/>
          <w:sz w:val="22"/>
          <w:lang w:eastAsia="en-GB"/>
        </w:rPr>
        <w:t xml:space="preserve"> Republic</w:t>
      </w:r>
      <w:r w:rsidRPr="00C148B4">
        <w:rPr>
          <w:rFonts w:cs="Arial"/>
          <w:szCs w:val="18"/>
        </w:rPr>
        <w:t xml:space="preserve">. </w:t>
      </w:r>
      <w:r w:rsidR="0031124D" w:rsidRPr="0031124D">
        <w:rPr>
          <w:rFonts w:cs="Arial"/>
          <w:szCs w:val="18"/>
          <w:lang w:eastAsia="en-GB"/>
        </w:rPr>
        <w:t>Lebanon</w:t>
      </w:r>
      <w:r w:rsidR="000169D1">
        <w:rPr>
          <w:rFonts w:cs="Arial"/>
          <w:szCs w:val="18"/>
        </w:rPr>
        <w:t xml:space="preserve"> </w:t>
      </w:r>
      <w:r w:rsidR="00EB2495" w:rsidRPr="00C148B4">
        <w:rPr>
          <w:rFonts w:cs="Arial"/>
          <w:szCs w:val="18"/>
        </w:rPr>
        <w:t xml:space="preserve">has a life expectancy at birth </w:t>
      </w:r>
      <w:r w:rsidR="0031124D" w:rsidRPr="0031124D">
        <w:rPr>
          <w:rFonts w:eastAsiaTheme="minorEastAsia" w:cs="Arial"/>
          <w:szCs w:val="18"/>
          <w:lang w:eastAsia="en-GB"/>
        </w:rPr>
        <w:t>above the two</w:t>
      </w:r>
      <w:r w:rsidR="0095334C" w:rsidRPr="00C148B4">
        <w:rPr>
          <w:rFonts w:cs="Arial"/>
          <w:szCs w:val="18"/>
        </w:rPr>
        <w:t xml:space="preserve"> mentioned countries.</w:t>
      </w:r>
      <w:r w:rsidR="00101764" w:rsidRPr="00C148B4">
        <w:rPr>
          <w:rFonts w:cs="Arial"/>
          <w:szCs w:val="18"/>
        </w:rPr>
        <w:br w:type="page"/>
      </w:r>
    </w:p>
    <w:p w:rsidR="00A27598" w:rsidRDefault="006B4C7E" w:rsidP="00DD01AF">
      <w:pPr>
        <w:pStyle w:val="Caption"/>
        <w:keepNext/>
      </w:pPr>
      <w:r w:rsidRPr="00E963F0">
        <w:rPr>
          <w:color w:val="1F4E79" w:themeColor="accent1" w:themeShade="80"/>
        </w:rPr>
        <w:lastRenderedPageBreak/>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3</w:t>
      </w:r>
      <w:r w:rsidRPr="00E963F0">
        <w:rPr>
          <w:color w:val="1F4E79" w:themeColor="accent1" w:themeShade="80"/>
        </w:rPr>
        <w:fldChar w:fldCharType="end"/>
      </w:r>
      <w:r w:rsidR="00A27598">
        <w:rPr>
          <w:color w:val="1F4E79" w:themeColor="accent1" w:themeShade="80"/>
        </w:rPr>
        <w:t xml:space="preserve"> </w:t>
      </w:r>
      <w:r w:rsidRPr="00E963F0">
        <w:rPr>
          <w:color w:val="1F4E79" w:themeColor="accent1" w:themeShade="80"/>
        </w:rPr>
        <w:t>Comparative analysis with the international average and the HRS reference indicators</w:t>
      </w:r>
    </w:p>
    <w:p w:rsidR="00A27598" w:rsidRDefault="004625DF">
      <w:r>
        <w:pict>
          <v:shape id="_x0000_i1027" type="#_x0000_t75" style="width:465.7pt;height:277.2pt">
            <v:imagedata r:id="rId10" o:title=""/>
          </v:shape>
        </w:pict>
      </w:r>
    </w:p>
    <w:p w:rsidR="00BB1CDC" w:rsidRPr="00691D14" w:rsidRDefault="00A27598" w:rsidP="0091495E">
      <w:pPr>
        <w:spacing w:after="0"/>
        <w:rPr>
          <w:rFonts w:cs="Arial"/>
          <w:szCs w:val="18"/>
        </w:rPr>
      </w:pPr>
      <w:r w:rsidRPr="00691D14">
        <w:rPr>
          <w:rFonts w:cs="Arial"/>
          <w:szCs w:val="18"/>
        </w:rPr>
        <w:t xml:space="preserve">The table above shows the relation of the ecologic, economic and health main indicators of </w:t>
      </w:r>
      <w:bookmarkStart w:id="1" w:name="OLE_LINK2"/>
      <w:r w:rsidR="0031124D" w:rsidRPr="0031124D">
        <w:rPr>
          <w:rFonts w:eastAsiaTheme="minorEastAsia" w:cs="Arial"/>
          <w:szCs w:val="18"/>
          <w:lang w:eastAsia="en-GB"/>
        </w:rPr>
        <w:t>Lebanon</w:t>
      </w:r>
      <w:r w:rsidRPr="00691D14">
        <w:rPr>
          <w:rFonts w:cs="Arial"/>
          <w:szCs w:val="18"/>
        </w:rPr>
        <w:t xml:space="preserve"> </w:t>
      </w:r>
      <w:bookmarkEnd w:id="1"/>
      <w:r w:rsidRPr="00691D14">
        <w:rPr>
          <w:rFonts w:cs="Arial"/>
          <w:szCs w:val="18"/>
        </w:rPr>
        <w:t>with the international average and with the Healthy-Replicable-Sustainable standards.</w:t>
      </w:r>
    </w:p>
    <w:p w:rsidR="00BB1CDC" w:rsidRPr="00691D14" w:rsidRDefault="00BB1CDC" w:rsidP="0091495E">
      <w:pPr>
        <w:spacing w:after="0"/>
        <w:rPr>
          <w:rFonts w:cs="Arial"/>
          <w:szCs w:val="18"/>
        </w:rPr>
      </w:pPr>
    </w:p>
    <w:p w:rsidR="00C443DA" w:rsidRPr="003C30ED" w:rsidRDefault="00A27598" w:rsidP="0091495E">
      <w:pPr>
        <w:spacing w:after="0"/>
        <w:rPr>
          <w:rFonts w:cs="Arial"/>
          <w:szCs w:val="18"/>
        </w:rPr>
      </w:pPr>
      <w:r w:rsidRPr="003C30ED">
        <w:rPr>
          <w:rFonts w:cs="Arial"/>
          <w:szCs w:val="18"/>
        </w:rPr>
        <w:t xml:space="preserve">It reveals that the bio capacity of </w:t>
      </w:r>
      <w:r w:rsidR="0031124D" w:rsidRPr="0031124D">
        <w:rPr>
          <w:rFonts w:eastAsiaTheme="minorEastAsia" w:cs="Arial"/>
          <w:szCs w:val="18"/>
          <w:lang w:eastAsia="en-GB"/>
        </w:rPr>
        <w:t>Lebanon</w:t>
      </w:r>
      <w:r w:rsidRPr="003C30ED">
        <w:rPr>
          <w:rFonts w:cs="Arial"/>
          <w:szCs w:val="18"/>
        </w:rPr>
        <w:t xml:space="preserve"> is </w:t>
      </w:r>
      <w:r w:rsidR="0031124D" w:rsidRPr="0031124D">
        <w:rPr>
          <w:rFonts w:eastAsiaTheme="minorEastAsia" w:cs="Arial"/>
          <w:szCs w:val="18"/>
          <w:lang w:eastAsia="en-GB"/>
        </w:rPr>
        <w:t>17%</w:t>
      </w:r>
      <w:r w:rsidRPr="003C30ED">
        <w:rPr>
          <w:rFonts w:cs="Arial"/>
          <w:szCs w:val="18"/>
        </w:rPr>
        <w:t xml:space="preserve"> of the world average</w:t>
      </w:r>
      <w:r w:rsidR="00B418EB" w:rsidRPr="003C30ED">
        <w:rPr>
          <w:rFonts w:cs="Arial"/>
          <w:szCs w:val="18"/>
        </w:rPr>
        <w:t xml:space="preserve">, hence being </w:t>
      </w:r>
      <w:r w:rsidR="0031124D" w:rsidRPr="0031124D">
        <w:rPr>
          <w:rFonts w:eastAsiaTheme="minorEastAsia" w:cs="Arial"/>
          <w:szCs w:val="18"/>
          <w:lang w:eastAsia="en-GB"/>
        </w:rPr>
        <w:t>replicable</w:t>
      </w:r>
      <w:r w:rsidR="00B418EB" w:rsidRPr="003C30ED">
        <w:rPr>
          <w:rFonts w:cs="Arial"/>
          <w:szCs w:val="18"/>
        </w:rPr>
        <w:t xml:space="preserve"> at global level. The ecological footprint of </w:t>
      </w:r>
      <w:bookmarkStart w:id="2" w:name="OLE_LINK3"/>
      <w:r w:rsidR="0031124D" w:rsidRPr="0031124D">
        <w:rPr>
          <w:rFonts w:eastAsiaTheme="minorEastAsia" w:cs="Arial"/>
          <w:szCs w:val="18"/>
          <w:lang w:eastAsia="en-GB"/>
        </w:rPr>
        <w:t>Lebanon</w:t>
      </w:r>
      <w:bookmarkEnd w:id="2"/>
      <w:r w:rsidR="00B418EB" w:rsidRPr="003C30ED">
        <w:rPr>
          <w:rFonts w:cs="Arial"/>
          <w:szCs w:val="18"/>
        </w:rPr>
        <w:t xml:space="preserve"> is </w:t>
      </w:r>
      <w:r w:rsidR="0031124D" w:rsidRPr="0031124D">
        <w:rPr>
          <w:rFonts w:eastAsiaTheme="minorEastAsia" w:cs="Arial"/>
          <w:szCs w:val="18"/>
          <w:lang w:eastAsia="en-GB"/>
        </w:rPr>
        <w:t>118%</w:t>
      </w:r>
      <w:r w:rsidR="00C443DA" w:rsidRPr="003C30ED">
        <w:rPr>
          <w:rFonts w:cs="Arial"/>
          <w:szCs w:val="18"/>
        </w:rPr>
        <w:t xml:space="preserve"> of the international average and </w:t>
      </w:r>
      <w:r w:rsidR="0031124D" w:rsidRPr="0031124D">
        <w:rPr>
          <w:rFonts w:eastAsiaTheme="minorEastAsia" w:cs="Arial"/>
          <w:szCs w:val="18"/>
          <w:lang w:eastAsia="en-GB"/>
        </w:rPr>
        <w:t>202%</w:t>
      </w:r>
      <w:r w:rsidR="00C443DA" w:rsidRPr="003C30ED">
        <w:rPr>
          <w:rFonts w:cs="Arial"/>
          <w:szCs w:val="18"/>
        </w:rPr>
        <w:t xml:space="preserve"> of the recycling threshold, hence ecologically </w:t>
      </w:r>
      <w:r w:rsidR="0031124D" w:rsidRPr="0031124D">
        <w:rPr>
          <w:rFonts w:eastAsiaTheme="minorEastAsia" w:cs="Arial"/>
          <w:szCs w:val="18"/>
          <w:lang w:eastAsia="en-GB"/>
        </w:rPr>
        <w:t>non-sustainable</w:t>
      </w:r>
      <w:r w:rsidR="00C443DA" w:rsidRPr="003C30ED">
        <w:rPr>
          <w:rFonts w:cs="Arial"/>
          <w:szCs w:val="18"/>
        </w:rPr>
        <w:t xml:space="preserve">. As regards the balance with its own natural resources, the ecological footprint of </w:t>
      </w:r>
      <w:r w:rsidR="0031124D" w:rsidRPr="0031124D">
        <w:rPr>
          <w:rFonts w:eastAsiaTheme="minorEastAsia" w:cs="Arial"/>
          <w:szCs w:val="18"/>
          <w:lang w:eastAsia="en-GB"/>
        </w:rPr>
        <w:t>Lebanon</w:t>
      </w:r>
      <w:r w:rsidR="00C443DA" w:rsidRPr="003C30ED">
        <w:rPr>
          <w:rFonts w:cs="Arial"/>
          <w:szCs w:val="18"/>
        </w:rPr>
        <w:t xml:space="preserve"> is </w:t>
      </w:r>
      <w:r w:rsidR="0031124D" w:rsidRPr="0031124D">
        <w:rPr>
          <w:rFonts w:eastAsiaTheme="minorEastAsia" w:cs="Arial"/>
          <w:szCs w:val="18"/>
          <w:lang w:eastAsia="en-GB"/>
        </w:rPr>
        <w:t>1159%</w:t>
      </w:r>
      <w:r w:rsidR="00C443DA" w:rsidRPr="003C30ED">
        <w:rPr>
          <w:rFonts w:cs="Arial"/>
          <w:szCs w:val="18"/>
        </w:rPr>
        <w:t xml:space="preserve"> of its average bio capacity pcy,</w:t>
      </w:r>
      <w:r w:rsidR="00BB1CDC" w:rsidRPr="003C30ED">
        <w:rPr>
          <w:rFonts w:cs="Arial"/>
          <w:szCs w:val="18"/>
        </w:rPr>
        <w:t xml:space="preserve"> </w:t>
      </w:r>
      <w:r w:rsidR="00C443DA" w:rsidRPr="003C30ED">
        <w:rPr>
          <w:rFonts w:cs="Arial"/>
          <w:szCs w:val="18"/>
        </w:rPr>
        <w:t xml:space="preserve">therefore it is </w:t>
      </w:r>
      <w:r w:rsidR="0031124D" w:rsidRPr="0031124D">
        <w:rPr>
          <w:rFonts w:eastAsiaTheme="minorEastAsia" w:cs="Arial"/>
          <w:szCs w:val="18"/>
          <w:lang w:eastAsia="en-GB"/>
        </w:rPr>
        <w:t>non-sustainable</w:t>
      </w:r>
      <w:r w:rsidR="00C443DA" w:rsidRPr="003C30ED">
        <w:rPr>
          <w:rFonts w:cs="Arial"/>
          <w:szCs w:val="18"/>
        </w:rPr>
        <w:t xml:space="preserve"> at national level. </w:t>
      </w:r>
      <w:r w:rsidR="00691D14" w:rsidRPr="003C30ED">
        <w:rPr>
          <w:rFonts w:cs="Arial"/>
          <w:szCs w:val="18"/>
        </w:rPr>
        <w:t xml:space="preserve">The level of CO2 emissions pcy is </w:t>
      </w:r>
      <w:r w:rsidR="0031124D" w:rsidRPr="0031124D">
        <w:rPr>
          <w:rFonts w:eastAsiaTheme="minorEastAsia" w:cs="Arial"/>
          <w:szCs w:val="18"/>
          <w:lang w:eastAsia="en-GB"/>
        </w:rPr>
        <w:t>91%</w:t>
      </w:r>
      <w:r w:rsidR="00691D14" w:rsidRPr="003C30ED">
        <w:rPr>
          <w:rFonts w:cs="Arial"/>
          <w:szCs w:val="18"/>
        </w:rPr>
        <w:t xml:space="preserve"> of the international level and </w:t>
      </w:r>
      <w:r w:rsidR="0031124D" w:rsidRPr="0031124D">
        <w:rPr>
          <w:rFonts w:eastAsiaTheme="minorEastAsia" w:cs="Arial"/>
          <w:szCs w:val="18"/>
          <w:lang w:eastAsia="en-GB"/>
        </w:rPr>
        <w:t>234%</w:t>
      </w:r>
      <w:r w:rsidR="00691D14" w:rsidRPr="003C30ED">
        <w:rPr>
          <w:rFonts w:cs="Arial"/>
          <w:szCs w:val="18"/>
        </w:rPr>
        <w:t xml:space="preserve"> of the ethical threshold, therefore </w:t>
      </w:r>
      <w:r w:rsidR="0031124D" w:rsidRPr="0031124D">
        <w:rPr>
          <w:rFonts w:eastAsiaTheme="minorEastAsia" w:cs="Arial"/>
          <w:szCs w:val="18"/>
          <w:lang w:eastAsia="en-GB"/>
        </w:rPr>
        <w:t>contributing</w:t>
      </w:r>
      <w:r w:rsidR="0031124D" w:rsidRPr="0031124D">
        <w:rPr>
          <w:rFonts w:ascii="Calibri" w:eastAsiaTheme="minorEastAsia" w:hAnsi="Calibri" w:cs="Calibri"/>
          <w:color w:val="000000"/>
          <w:sz w:val="22"/>
          <w:lang w:eastAsia="en-GB"/>
        </w:rPr>
        <w:t xml:space="preserve"> to</w:t>
      </w:r>
      <w:r w:rsidR="00691D14" w:rsidRPr="003C30ED">
        <w:rPr>
          <w:rFonts w:cs="Arial"/>
          <w:szCs w:val="18"/>
        </w:rPr>
        <w:t xml:space="preserve"> global warming.</w:t>
      </w:r>
    </w:p>
    <w:p w:rsidR="00BB1CDC" w:rsidRPr="00691D14" w:rsidRDefault="00BB1CDC" w:rsidP="0091495E">
      <w:pPr>
        <w:spacing w:after="0"/>
        <w:rPr>
          <w:rFonts w:cs="Arial"/>
          <w:szCs w:val="18"/>
        </w:rPr>
      </w:pPr>
    </w:p>
    <w:p w:rsidR="0091495E" w:rsidRPr="0040139C" w:rsidRDefault="00C443DA" w:rsidP="0091495E">
      <w:pPr>
        <w:spacing w:after="0"/>
        <w:rPr>
          <w:rFonts w:cs="Arial"/>
          <w:szCs w:val="18"/>
        </w:rPr>
      </w:pPr>
      <w:r w:rsidRPr="0040139C">
        <w:rPr>
          <w:rFonts w:cs="Arial"/>
          <w:szCs w:val="18"/>
        </w:rPr>
        <w:t xml:space="preserve">As regards the economic indicators, </w:t>
      </w:r>
      <w:r w:rsidR="0031124D" w:rsidRPr="0031124D">
        <w:rPr>
          <w:rFonts w:cs="Arial"/>
          <w:szCs w:val="18"/>
          <w:lang w:eastAsia="en-GB"/>
        </w:rPr>
        <w:t>Lebanon</w:t>
      </w:r>
      <w:r w:rsidRPr="0040139C">
        <w:rPr>
          <w:rFonts w:cs="Arial"/>
          <w:szCs w:val="18"/>
        </w:rPr>
        <w:t xml:space="preserve">s GDP CV pc is </w:t>
      </w:r>
      <w:r w:rsidR="0031124D" w:rsidRPr="0031124D">
        <w:rPr>
          <w:rFonts w:eastAsiaTheme="minorEastAsia" w:cs="Arial"/>
          <w:szCs w:val="18"/>
          <w:lang w:eastAsia="en-GB"/>
        </w:rPr>
        <w:t>70%</w:t>
      </w:r>
      <w:r w:rsidR="00B86CD0" w:rsidRPr="0040139C">
        <w:rPr>
          <w:rFonts w:cs="Arial"/>
          <w:szCs w:val="18"/>
        </w:rPr>
        <w:t xml:space="preserve"> </w:t>
      </w:r>
      <w:r w:rsidRPr="0040139C">
        <w:rPr>
          <w:rFonts w:cs="Arial"/>
          <w:szCs w:val="18"/>
        </w:rPr>
        <w:t>of the international average (hence</w:t>
      </w:r>
      <w:r w:rsidR="0091495E" w:rsidRPr="0040139C">
        <w:rPr>
          <w:rFonts w:cs="Arial"/>
          <w:szCs w:val="18"/>
        </w:rPr>
        <w:t xml:space="preserve"> economically</w:t>
      </w:r>
      <w:r w:rsidRPr="0040139C">
        <w:rPr>
          <w:rFonts w:cs="Arial"/>
          <w:szCs w:val="18"/>
        </w:rPr>
        <w:t xml:space="preserve"> </w:t>
      </w:r>
      <w:r w:rsidR="0031124D" w:rsidRPr="0031124D">
        <w:rPr>
          <w:rFonts w:eastAsiaTheme="minorEastAsia" w:cs="Arial"/>
          <w:szCs w:val="18"/>
          <w:lang w:eastAsia="en-GB"/>
        </w:rPr>
        <w:t>replicable</w:t>
      </w:r>
      <w:r w:rsidR="0091495E" w:rsidRPr="0040139C">
        <w:rPr>
          <w:rFonts w:cs="Arial"/>
          <w:szCs w:val="18"/>
        </w:rPr>
        <w:t>)</w:t>
      </w:r>
      <w:r w:rsidRPr="0040139C">
        <w:rPr>
          <w:rFonts w:cs="Arial"/>
          <w:szCs w:val="18"/>
        </w:rPr>
        <w:t xml:space="preserve"> and </w:t>
      </w:r>
      <w:r w:rsidR="0031124D" w:rsidRPr="0031124D">
        <w:rPr>
          <w:rFonts w:eastAsiaTheme="minorEastAsia" w:cs="Arial"/>
          <w:szCs w:val="18"/>
          <w:lang w:eastAsia="en-GB"/>
        </w:rPr>
        <w:t>196%</w:t>
      </w:r>
      <w:r w:rsidRPr="0040139C">
        <w:rPr>
          <w:rFonts w:cs="Arial"/>
          <w:szCs w:val="18"/>
        </w:rPr>
        <w:t xml:space="preserve"> of the HRS reference. </w:t>
      </w:r>
      <w:r w:rsidR="0091495E" w:rsidRPr="0040139C">
        <w:rPr>
          <w:rFonts w:cs="Arial"/>
          <w:szCs w:val="18"/>
        </w:rPr>
        <w:t xml:space="preserve">Its cumulative wealth pcy is </w:t>
      </w:r>
      <w:r w:rsidR="0031124D" w:rsidRPr="0031124D">
        <w:rPr>
          <w:rFonts w:eastAsiaTheme="minorEastAsia" w:cs="Arial"/>
          <w:szCs w:val="18"/>
          <w:lang w:eastAsia="en-GB"/>
        </w:rPr>
        <w:t>71%</w:t>
      </w:r>
      <w:r w:rsidR="0091495E" w:rsidRPr="0040139C">
        <w:rPr>
          <w:rFonts w:cs="Arial"/>
          <w:szCs w:val="18"/>
        </w:rPr>
        <w:t xml:space="preserve"> of the international average and </w:t>
      </w:r>
      <w:r w:rsidR="0031124D" w:rsidRPr="0031124D">
        <w:rPr>
          <w:rFonts w:eastAsiaTheme="minorEastAsia" w:cs="Arial"/>
          <w:szCs w:val="18"/>
          <w:lang w:eastAsia="en-GB"/>
        </w:rPr>
        <w:t>248%</w:t>
      </w:r>
      <w:r w:rsidR="0091495E" w:rsidRPr="0040139C">
        <w:rPr>
          <w:rFonts w:cs="Arial"/>
          <w:szCs w:val="18"/>
        </w:rPr>
        <w:t xml:space="preserve"> of the HRS reference.</w:t>
      </w:r>
    </w:p>
    <w:p w:rsidR="00BB1CDC" w:rsidRPr="00691D14" w:rsidRDefault="00BB1CDC" w:rsidP="0091495E">
      <w:pPr>
        <w:spacing w:after="0"/>
        <w:rPr>
          <w:rFonts w:cs="Arial"/>
          <w:szCs w:val="18"/>
        </w:rPr>
      </w:pPr>
    </w:p>
    <w:p w:rsidR="004E6A08" w:rsidRPr="00691D14" w:rsidRDefault="0091495E" w:rsidP="0091495E">
      <w:pPr>
        <w:spacing w:after="0"/>
        <w:rPr>
          <w:rFonts w:cs="Arial"/>
          <w:szCs w:val="18"/>
        </w:rPr>
      </w:pPr>
      <w:r w:rsidRPr="00691D14">
        <w:rPr>
          <w:rFonts w:cs="Arial"/>
          <w:szCs w:val="18"/>
        </w:rPr>
        <w:t xml:space="preserve">In terms of health, the life expectancy in </w:t>
      </w:r>
      <w:r w:rsidR="0031124D" w:rsidRPr="0031124D">
        <w:rPr>
          <w:rFonts w:eastAsiaTheme="minorEastAsia" w:cs="Arial"/>
          <w:szCs w:val="18"/>
          <w:lang w:eastAsia="en-GB"/>
        </w:rPr>
        <w:t>Lebanon</w:t>
      </w:r>
      <w:r w:rsidRPr="00691D14">
        <w:rPr>
          <w:rFonts w:cs="Arial"/>
          <w:szCs w:val="18"/>
        </w:rPr>
        <w:t xml:space="preserve"> is </w:t>
      </w:r>
      <w:r w:rsidR="0031124D" w:rsidRPr="0031124D">
        <w:rPr>
          <w:rFonts w:eastAsiaTheme="minorEastAsia" w:cs="Arial"/>
          <w:szCs w:val="18"/>
          <w:lang w:eastAsia="en-GB"/>
        </w:rPr>
        <w:t>6.40</w:t>
      </w:r>
      <w:r w:rsidRPr="00691D14">
        <w:rPr>
          <w:rFonts w:cs="Arial"/>
          <w:szCs w:val="18"/>
        </w:rPr>
        <w:t xml:space="preserve"> years </w:t>
      </w:r>
      <w:r w:rsidR="0031124D" w:rsidRPr="0031124D">
        <w:rPr>
          <w:rFonts w:eastAsiaTheme="minorEastAsia" w:cs="Arial"/>
          <w:szCs w:val="18"/>
          <w:lang w:eastAsia="en-GB"/>
        </w:rPr>
        <w:t>above</w:t>
      </w:r>
      <w:r w:rsidRPr="00691D14">
        <w:rPr>
          <w:rFonts w:cs="Arial"/>
          <w:szCs w:val="18"/>
        </w:rPr>
        <w:t xml:space="preserve"> the international average (</w:t>
      </w:r>
      <w:r w:rsidR="0031124D" w:rsidRPr="0031124D">
        <w:rPr>
          <w:rFonts w:eastAsiaTheme="minorEastAsia" w:cs="Arial"/>
          <w:szCs w:val="18"/>
          <w:lang w:eastAsia="en-GB"/>
        </w:rPr>
        <w:t>6.10</w:t>
      </w:r>
      <w:r w:rsidRPr="00691D14">
        <w:rPr>
          <w:rFonts w:cs="Arial"/>
          <w:szCs w:val="18"/>
        </w:rPr>
        <w:t xml:space="preserve"> in women and </w:t>
      </w:r>
      <w:r w:rsidR="0031124D" w:rsidRPr="0031124D">
        <w:rPr>
          <w:rFonts w:eastAsiaTheme="minorEastAsia" w:cs="Arial"/>
          <w:szCs w:val="18"/>
          <w:lang w:eastAsia="en-GB"/>
        </w:rPr>
        <w:t>6.70</w:t>
      </w:r>
      <w:r w:rsidRPr="00691D14">
        <w:rPr>
          <w:rFonts w:cs="Arial"/>
          <w:szCs w:val="18"/>
        </w:rPr>
        <w:t xml:space="preserve"> </w:t>
      </w:r>
      <w:r w:rsidR="0031124D" w:rsidRPr="0031124D">
        <w:rPr>
          <w:rFonts w:eastAsiaTheme="minorEastAsia" w:cs="Arial"/>
          <w:szCs w:val="18"/>
          <w:lang w:eastAsia="en-GB"/>
        </w:rPr>
        <w:t>above</w:t>
      </w:r>
      <w:r w:rsidRPr="00691D14">
        <w:rPr>
          <w:rFonts w:cs="Arial"/>
          <w:szCs w:val="18"/>
        </w:rPr>
        <w:t xml:space="preserve"> in men) and </w:t>
      </w:r>
      <w:r w:rsidR="0031124D" w:rsidRPr="0031124D">
        <w:rPr>
          <w:rFonts w:eastAsiaTheme="minorEastAsia" w:cs="Arial"/>
          <w:szCs w:val="18"/>
          <w:lang w:eastAsia="en-GB"/>
        </w:rPr>
        <w:t>2.33</w:t>
      </w:r>
      <w:r w:rsidRPr="00691D14">
        <w:rPr>
          <w:rFonts w:cs="Arial"/>
          <w:szCs w:val="18"/>
        </w:rPr>
        <w:t xml:space="preserve"> years </w:t>
      </w:r>
      <w:r w:rsidR="0031124D" w:rsidRPr="0031124D">
        <w:rPr>
          <w:rFonts w:eastAsiaTheme="minorEastAsia" w:cs="Arial"/>
          <w:szCs w:val="18"/>
          <w:lang w:eastAsia="en-GB"/>
        </w:rPr>
        <w:t>above</w:t>
      </w:r>
      <w:r w:rsidRPr="00691D14">
        <w:rPr>
          <w:rFonts w:cs="Arial"/>
          <w:szCs w:val="18"/>
        </w:rPr>
        <w:t xml:space="preserve"> the HRS level (</w:t>
      </w:r>
      <w:r w:rsidR="0031124D" w:rsidRPr="0031124D">
        <w:rPr>
          <w:rFonts w:eastAsiaTheme="minorEastAsia" w:cs="Arial"/>
          <w:szCs w:val="18"/>
          <w:lang w:eastAsia="en-GB"/>
        </w:rPr>
        <w:t>0.81</w:t>
      </w:r>
      <w:r w:rsidRPr="00691D14">
        <w:rPr>
          <w:rFonts w:cs="Arial"/>
          <w:szCs w:val="18"/>
        </w:rPr>
        <w:t xml:space="preserve"> </w:t>
      </w:r>
      <w:r w:rsidR="0031124D" w:rsidRPr="0031124D">
        <w:rPr>
          <w:rFonts w:eastAsiaTheme="minorEastAsia" w:cs="Arial"/>
          <w:szCs w:val="18"/>
          <w:lang w:eastAsia="en-GB"/>
        </w:rPr>
        <w:t>above</w:t>
      </w:r>
      <w:r w:rsidRPr="00691D14">
        <w:rPr>
          <w:rFonts w:cs="Arial"/>
          <w:szCs w:val="18"/>
        </w:rPr>
        <w:t xml:space="preserve"> in women and </w:t>
      </w:r>
      <w:r w:rsidR="0031124D" w:rsidRPr="0031124D">
        <w:rPr>
          <w:rFonts w:eastAsiaTheme="minorEastAsia" w:cs="Arial"/>
          <w:szCs w:val="18"/>
          <w:lang w:eastAsia="en-GB"/>
        </w:rPr>
        <w:t>3.86</w:t>
      </w:r>
      <w:r w:rsidRPr="00691D14">
        <w:rPr>
          <w:rFonts w:cs="Arial"/>
          <w:szCs w:val="18"/>
        </w:rPr>
        <w:t xml:space="preserve"> </w:t>
      </w:r>
      <w:r w:rsidR="0031124D" w:rsidRPr="0031124D">
        <w:rPr>
          <w:rFonts w:eastAsiaTheme="minorEastAsia" w:cs="Arial"/>
          <w:szCs w:val="18"/>
          <w:lang w:eastAsia="en-GB"/>
        </w:rPr>
        <w:t>above</w:t>
      </w:r>
      <w:r w:rsidR="00BB1CDC" w:rsidRPr="00691D14">
        <w:rPr>
          <w:rFonts w:cs="Arial"/>
          <w:szCs w:val="18"/>
        </w:rPr>
        <w:t xml:space="preserve"> in men) with a proportional sex difference of </w:t>
      </w:r>
      <w:r w:rsidR="0031124D" w:rsidRPr="0031124D">
        <w:rPr>
          <w:rFonts w:eastAsiaTheme="minorEastAsia" w:cs="Arial"/>
          <w:szCs w:val="18"/>
          <w:lang w:eastAsia="en-GB"/>
        </w:rPr>
        <w:t>4.81%</w:t>
      </w:r>
      <w:r w:rsidR="00BB1CDC" w:rsidRPr="00691D14">
        <w:rPr>
          <w:rFonts w:cs="Arial"/>
          <w:szCs w:val="18"/>
        </w:rPr>
        <w:t xml:space="preserve">, </w:t>
      </w:r>
      <w:r w:rsidR="0031124D" w:rsidRPr="0031124D">
        <w:rPr>
          <w:rFonts w:eastAsiaTheme="minorEastAsia" w:cs="Arial"/>
          <w:szCs w:val="18"/>
          <w:lang w:eastAsia="en-GB"/>
        </w:rPr>
        <w:t>lower</w:t>
      </w:r>
      <w:r w:rsidR="00BB1CDC" w:rsidRPr="00691D14">
        <w:rPr>
          <w:rFonts w:cs="Arial"/>
          <w:szCs w:val="18"/>
        </w:rPr>
        <w:t xml:space="preserve"> than the world’s average.</w:t>
      </w:r>
    </w:p>
    <w:p w:rsidR="00BB1CDC" w:rsidRPr="00EA013D" w:rsidRDefault="00BB1CDC" w:rsidP="0091495E">
      <w:pPr>
        <w:spacing w:after="0"/>
        <w:rPr>
          <w:rFonts w:cs="Arial"/>
          <w:szCs w:val="18"/>
        </w:rPr>
      </w:pPr>
    </w:p>
    <w:p w:rsidR="00A27598" w:rsidRPr="00C443DA" w:rsidRDefault="00A27598" w:rsidP="0091495E">
      <w:pPr>
        <w:spacing w:after="0"/>
        <w:rPr>
          <w:rFonts w:cs="Arial"/>
          <w:szCs w:val="18"/>
        </w:rPr>
      </w:pPr>
      <w:r w:rsidRPr="00C443DA">
        <w:rPr>
          <w:rFonts w:cs="Arial"/>
          <w:szCs w:val="18"/>
        </w:rPr>
        <w:br w:type="page"/>
      </w:r>
    </w:p>
    <w:p w:rsidR="00101764" w:rsidRDefault="00907D25" w:rsidP="00907D25">
      <w:pPr>
        <w:pStyle w:val="Heading2"/>
      </w:pPr>
      <w:r>
        <w:lastRenderedPageBreak/>
        <w:t>HRS indicators 1961-2020</w:t>
      </w:r>
    </w:p>
    <w:p w:rsidR="00907D25" w:rsidRDefault="00907D25" w:rsidP="00907D25"/>
    <w:p w:rsidR="00907D25" w:rsidRDefault="00907D25" w:rsidP="00907D25">
      <w:pPr>
        <w:pStyle w:val="Heading3"/>
      </w:pPr>
      <w:r>
        <w:t>Ecologic indicators:</w:t>
      </w:r>
    </w:p>
    <w:p w:rsidR="00A73A23" w:rsidRPr="00A73A23" w:rsidRDefault="00A73A23" w:rsidP="00A73A23">
      <w:pPr>
        <w:rPr>
          <w:rFonts w:cs="Arial"/>
          <w:szCs w:val="18"/>
        </w:rPr>
      </w:pPr>
      <w:r w:rsidRPr="00A73A23">
        <w:rPr>
          <w:rFonts w:cs="Arial"/>
          <w:szCs w:val="18"/>
        </w:rPr>
        <w:t>The following graphs represent the annual average levels of the nature’s recycling capacity in hectares pcy (bio capacity), the rate at which such resources are used (ecological footprint) and the level of CO2 emissions pcy in</w:t>
      </w:r>
      <w:r w:rsidR="004625DF">
        <w:rPr>
          <w:rFonts w:cs="Arial"/>
          <w:szCs w:val="18"/>
        </w:rPr>
        <w:t xml:space="preserve"> Le</w:t>
      </w:r>
      <w:bookmarkStart w:id="3" w:name="_GoBack"/>
      <w:bookmarkEnd w:id="3"/>
      <w:r w:rsidR="004625DF">
        <w:rPr>
          <w:rFonts w:cs="Arial"/>
          <w:szCs w:val="18"/>
        </w:rPr>
        <w:t>banon</w:t>
      </w:r>
      <w:r w:rsidRPr="00A73A23">
        <w:rPr>
          <w:rFonts w:cs="Arial"/>
          <w:szCs w:val="18"/>
        </w:rPr>
        <w:t>. These indicators are compared with the international average and the recycling threshold above which the level is not replicable (bio capacity pcy) or not sustainable (ecological and carbon footprints), leading to nature’s depletion and (in the case of CO2 emissions) global warming.</w:t>
      </w:r>
    </w:p>
    <w:p w:rsidR="00A73A23" w:rsidRPr="00A73A23" w:rsidRDefault="00A73A23" w:rsidP="00A73A23"/>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w:t>
      </w:r>
      <w:r w:rsidR="00AD744D">
        <w:rPr>
          <w:color w:val="1F4E79" w:themeColor="accent1" w:themeShade="80"/>
        </w:rPr>
        <w:fldChar w:fldCharType="end"/>
      </w:r>
      <w:r w:rsidR="00915004">
        <w:rPr>
          <w:color w:val="1F4E79" w:themeColor="accent1" w:themeShade="80"/>
        </w:rPr>
        <w:t xml:space="preserve"> </w:t>
      </w:r>
      <w:r w:rsidRPr="00E963F0">
        <w:rPr>
          <w:color w:val="1F4E79" w:themeColor="accent1" w:themeShade="80"/>
        </w:rPr>
        <w:t xml:space="preserve">Bio capacity pcy </w:t>
      </w:r>
      <w:r w:rsidR="00BE4F85" w:rsidRPr="00E963F0">
        <w:rPr>
          <w:color w:val="1F4E79" w:themeColor="accent1" w:themeShade="80"/>
        </w:rPr>
        <w:t xml:space="preserve">vs. world average </w:t>
      </w:r>
      <w:r w:rsidRPr="00E963F0">
        <w:rPr>
          <w:color w:val="1F4E79" w:themeColor="accent1" w:themeShade="80"/>
        </w:rPr>
        <w:t>1961-2020</w:t>
      </w:r>
    </w:p>
    <w:p w:rsidR="008224FD" w:rsidRDefault="004625DF" w:rsidP="008224FD">
      <w:pPr>
        <w:keepNext/>
        <w:jc w:val="center"/>
      </w:pPr>
      <w:r>
        <w:pict>
          <v:shape id="_x0000_i1028" type="#_x0000_t75" style="width:339.6pt;height:199.35pt">
            <v:imagedata r:id="rId11" o:title=""/>
          </v:shape>
        </w:pict>
      </w:r>
    </w:p>
    <w:p w:rsidR="00907D25" w:rsidRPr="00E963F0" w:rsidRDefault="00907D25" w:rsidP="008224FD">
      <w:pPr>
        <w:keepNext/>
        <w:jc w:val="center"/>
      </w:pPr>
    </w:p>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3</w:t>
      </w:r>
      <w:r w:rsidR="00AD744D">
        <w:rPr>
          <w:color w:val="1F4E79" w:themeColor="accent1" w:themeShade="80"/>
        </w:rPr>
        <w:fldChar w:fldCharType="end"/>
      </w:r>
      <w:r w:rsidRPr="00E963F0">
        <w:rPr>
          <w:color w:val="1F4E79" w:themeColor="accent1" w:themeShade="80"/>
        </w:rPr>
        <w:t xml:space="preserve"> Ecological footprint </w:t>
      </w:r>
      <w:r w:rsidR="00BE4F85" w:rsidRPr="00E963F0">
        <w:rPr>
          <w:color w:val="1F4E79" w:themeColor="accent1" w:themeShade="80"/>
        </w:rPr>
        <w:t xml:space="preserve">pcy vs world average and recycling threshold </w:t>
      </w:r>
      <w:r w:rsidRPr="00E963F0">
        <w:rPr>
          <w:color w:val="1F4E79" w:themeColor="accent1" w:themeShade="80"/>
        </w:rPr>
        <w:t>1961-2020</w:t>
      </w:r>
    </w:p>
    <w:p w:rsidR="009B5073" w:rsidRPr="00E963F0" w:rsidRDefault="004625DF" w:rsidP="00E2114C">
      <w:pPr>
        <w:jc w:val="center"/>
      </w:pPr>
      <w:r>
        <w:pict>
          <v:shape id="_x0000_i1029" type="#_x0000_t75" style="width:339.2pt;height:198.5pt">
            <v:imagedata r:id="rId12" o:title=""/>
          </v:shape>
        </w:pict>
      </w:r>
    </w:p>
    <w:p w:rsidR="00E2114C" w:rsidRPr="00E963F0" w:rsidRDefault="00E2114C"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07D25" w:rsidRPr="00E963F0" w:rsidRDefault="00907D25" w:rsidP="00907D2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4</w:t>
      </w:r>
      <w:r w:rsidR="00AD744D">
        <w:rPr>
          <w:color w:val="1F4E79" w:themeColor="accent1" w:themeShade="80"/>
        </w:rPr>
        <w:fldChar w:fldCharType="end"/>
      </w:r>
      <w:r w:rsidRPr="00E963F0">
        <w:rPr>
          <w:color w:val="1F4E79" w:themeColor="accent1" w:themeShade="80"/>
        </w:rPr>
        <w:t xml:space="preserve"> CO2 emissions pcy vs world average and ethical threshold 1960-2020</w:t>
      </w:r>
    </w:p>
    <w:p w:rsidR="00907D25" w:rsidRPr="00EA013D" w:rsidRDefault="00847772" w:rsidP="00907D25">
      <w:pPr>
        <w:pStyle w:val="Caption"/>
        <w:jc w:val="center"/>
        <w:rPr>
          <w:color w:val="1F4E79" w:themeColor="accent1" w:themeShade="80"/>
        </w:rPr>
      </w:pPr>
      <w:r>
        <w:rPr>
          <w:color w:val="1F4E79" w:themeColor="accent1" w:themeShade="80"/>
        </w:rPr>
        <w:pict>
          <v:shape id="_x0000_i1030" type="#_x0000_t75" style="width:339.2pt;height:198.5pt">
            <v:imagedata r:id="rId13" o:title=""/>
          </v:shape>
        </w:pict>
      </w:r>
    </w:p>
    <w:p w:rsidR="00EB78B7" w:rsidRPr="00C1746B" w:rsidRDefault="004C7C3C" w:rsidP="00EB78B7">
      <w:pPr>
        <w:pStyle w:val="Caption"/>
        <w:rPr>
          <w:rFonts w:cs="Arial"/>
          <w:i w:val="0"/>
          <w:color w:val="1F4E79" w:themeColor="accent1" w:themeShade="80"/>
        </w:rPr>
      </w:pPr>
      <w:r w:rsidRPr="00C1746B">
        <w:rPr>
          <w:rFonts w:cs="Arial"/>
          <w:i w:val="0"/>
          <w:color w:val="1F4E79" w:themeColor="accent1" w:themeShade="80"/>
        </w:rPr>
        <w:t xml:space="preserve">As the graphs above show, </w:t>
      </w:r>
      <w:r w:rsidR="0031124D" w:rsidRPr="0031124D">
        <w:rPr>
          <w:rFonts w:eastAsiaTheme="minorEastAsia" w:cs="Arial"/>
          <w:i w:val="0"/>
          <w:iCs w:val="0"/>
          <w:color w:val="1F4E79" w:themeColor="accent1" w:themeShade="80"/>
          <w:lang w:eastAsia="en-GB"/>
        </w:rPr>
        <w:t>Lebanon</w:t>
      </w:r>
      <w:r w:rsidR="00EA013D" w:rsidRPr="00C1746B">
        <w:rPr>
          <w:rFonts w:cs="Arial"/>
          <w:i w:val="0"/>
          <w:color w:val="1F4E79" w:themeColor="accent1" w:themeShade="80"/>
        </w:rPr>
        <w:t xml:space="preserve"> </w:t>
      </w:r>
      <w:r w:rsidR="00BD249A" w:rsidRPr="00C1746B">
        <w:rPr>
          <w:rFonts w:cs="Arial"/>
          <w:i w:val="0"/>
          <w:color w:val="1F4E79" w:themeColor="accent1" w:themeShade="80"/>
        </w:rPr>
        <w:t xml:space="preserve">has a bio capacity pcy </w:t>
      </w:r>
      <w:r w:rsidR="0031124D" w:rsidRPr="0031124D">
        <w:rPr>
          <w:rFonts w:eastAsiaTheme="minorEastAsia" w:cs="Arial"/>
          <w:i w:val="0"/>
          <w:iCs w:val="0"/>
          <w:color w:val="1F4E79" w:themeColor="accent1" w:themeShade="80"/>
          <w:lang w:eastAsia="en-GB"/>
        </w:rPr>
        <w:t>replicable</w:t>
      </w:r>
      <w:r w:rsidR="00BD249A" w:rsidRPr="00C1746B">
        <w:rPr>
          <w:rFonts w:cs="Arial"/>
          <w:i w:val="0"/>
          <w:color w:val="1F4E79" w:themeColor="accent1" w:themeShade="80"/>
        </w:rPr>
        <w:t xml:space="preserve"> at global level, </w:t>
      </w:r>
      <w:r w:rsidR="005F6310" w:rsidRPr="00C1746B">
        <w:rPr>
          <w:rFonts w:cs="Arial"/>
          <w:i w:val="0"/>
          <w:color w:val="1F4E79" w:themeColor="accent1" w:themeShade="80"/>
        </w:rPr>
        <w:t xml:space="preserve">regarding its ecological footprint </w:t>
      </w:r>
      <w:r w:rsidR="00BD249A" w:rsidRPr="00C1746B">
        <w:rPr>
          <w:rFonts w:cs="Arial"/>
          <w:i w:val="0"/>
          <w:color w:val="1F4E79" w:themeColor="accent1" w:themeShade="80"/>
        </w:rPr>
        <w:t xml:space="preserve">it </w:t>
      </w:r>
      <w:r w:rsidRPr="00C1746B">
        <w:rPr>
          <w:rFonts w:cs="Arial"/>
          <w:i w:val="0"/>
          <w:color w:val="1F4E79" w:themeColor="accent1" w:themeShade="80"/>
        </w:rPr>
        <w:t xml:space="preserve">is ecologically </w:t>
      </w:r>
      <w:r w:rsidR="0031124D" w:rsidRPr="0031124D">
        <w:rPr>
          <w:rFonts w:eastAsiaTheme="minorEastAsia" w:cs="Arial"/>
          <w:i w:val="0"/>
          <w:iCs w:val="0"/>
          <w:color w:val="1F4E79" w:themeColor="accent1" w:themeShade="80"/>
          <w:lang w:eastAsia="en-GB"/>
        </w:rPr>
        <w:t>non-sustainable</w:t>
      </w:r>
      <w:r w:rsidR="00BD249A" w:rsidRPr="00C1746B">
        <w:rPr>
          <w:rFonts w:cs="Arial"/>
          <w:i w:val="0"/>
          <w:color w:val="1F4E79" w:themeColor="accent1" w:themeShade="80"/>
        </w:rPr>
        <w:t xml:space="preserve"> </w:t>
      </w:r>
      <w:r w:rsidRPr="00C1746B">
        <w:rPr>
          <w:rFonts w:cs="Arial"/>
          <w:i w:val="0"/>
          <w:color w:val="1F4E79" w:themeColor="accent1" w:themeShade="80"/>
        </w:rPr>
        <w:t>at global level</w:t>
      </w:r>
      <w:r w:rsidR="00BD249A" w:rsidRPr="00C1746B">
        <w:rPr>
          <w:rFonts w:cs="Arial"/>
          <w:i w:val="0"/>
          <w:color w:val="1F4E79" w:themeColor="accent1" w:themeShade="80"/>
        </w:rPr>
        <w:t xml:space="preserve"> and </w:t>
      </w:r>
      <w:r w:rsidR="005F6310" w:rsidRPr="00C1746B">
        <w:rPr>
          <w:rFonts w:cs="Arial"/>
          <w:i w:val="0"/>
          <w:color w:val="1F4E79" w:themeColor="accent1" w:themeShade="80"/>
        </w:rPr>
        <w:t xml:space="preserve">its present level of </w:t>
      </w:r>
      <w:r w:rsidR="00BD249A" w:rsidRPr="00C1746B">
        <w:rPr>
          <w:rFonts w:cs="Arial"/>
          <w:i w:val="0"/>
          <w:color w:val="1F4E79" w:themeColor="accent1" w:themeShade="80"/>
        </w:rPr>
        <w:t>CO2 emissions</w:t>
      </w:r>
      <w:r w:rsidR="005F6310" w:rsidRPr="00C1746B">
        <w:rPr>
          <w:rFonts w:cs="Arial"/>
          <w:i w:val="0"/>
          <w:color w:val="1F4E79" w:themeColor="accent1" w:themeShade="80"/>
        </w:rPr>
        <w:t xml:space="preserve"> is</w:t>
      </w:r>
      <w:r w:rsidR="00BD249A" w:rsidRPr="00C1746B">
        <w:rPr>
          <w:rFonts w:cs="Arial"/>
          <w:i w:val="0"/>
          <w:color w:val="1F4E79" w:themeColor="accent1" w:themeShade="80"/>
        </w:rPr>
        <w:t xml:space="preserve"> </w:t>
      </w:r>
      <w:r w:rsidR="0031124D" w:rsidRPr="0031124D">
        <w:rPr>
          <w:rFonts w:eastAsiaTheme="minorEastAsia" w:cs="Arial"/>
          <w:i w:val="0"/>
          <w:iCs w:val="0"/>
          <w:color w:val="1F4E79" w:themeColor="accent1" w:themeShade="80"/>
          <w:lang w:eastAsia="en-GB"/>
        </w:rPr>
        <w:t>contributing</w:t>
      </w:r>
      <w:r w:rsidR="0031124D" w:rsidRPr="0031124D">
        <w:rPr>
          <w:rFonts w:ascii="Calibri" w:eastAsiaTheme="minorEastAsia" w:hAnsi="Calibri" w:cs="Calibri"/>
          <w:i w:val="0"/>
          <w:iCs w:val="0"/>
          <w:color w:val="000000"/>
          <w:sz w:val="22"/>
          <w:szCs w:val="22"/>
          <w:lang w:eastAsia="en-GB"/>
        </w:rPr>
        <w:t xml:space="preserve"> to</w:t>
      </w:r>
      <w:r w:rsidR="00BD249A" w:rsidRPr="00C1746B">
        <w:rPr>
          <w:rFonts w:cs="Arial"/>
          <w:i w:val="0"/>
          <w:color w:val="1F4E79" w:themeColor="accent1" w:themeShade="80"/>
        </w:rPr>
        <w:t xml:space="preserve"> global warming above 1.5 degrees during this century</w:t>
      </w:r>
      <w:r w:rsidRPr="00C1746B">
        <w:rPr>
          <w:rFonts w:cs="Arial"/>
          <w:i w:val="0"/>
          <w:color w:val="1F4E79" w:themeColor="accent1" w:themeShade="80"/>
        </w:rPr>
        <w:t xml:space="preserve">. </w:t>
      </w:r>
      <w:r w:rsidR="00B86CD0" w:rsidRPr="00C1746B">
        <w:rPr>
          <w:rFonts w:cs="Arial"/>
          <w:i w:val="0"/>
          <w:color w:val="1F4E79" w:themeColor="accent1" w:themeShade="80"/>
        </w:rPr>
        <w:t>T</w:t>
      </w:r>
      <w:r w:rsidRPr="00C1746B">
        <w:rPr>
          <w:rFonts w:cs="Arial"/>
          <w:i w:val="0"/>
          <w:color w:val="1F4E79" w:themeColor="accent1" w:themeShade="80"/>
        </w:rPr>
        <w:t xml:space="preserve">he use of </w:t>
      </w:r>
      <w:r w:rsidR="005F6310" w:rsidRPr="00C1746B">
        <w:rPr>
          <w:rFonts w:cs="Arial"/>
          <w:i w:val="0"/>
          <w:color w:val="1F4E79" w:themeColor="accent1" w:themeShade="80"/>
        </w:rPr>
        <w:t xml:space="preserve">natural </w:t>
      </w:r>
      <w:r w:rsidRPr="00C1746B">
        <w:rPr>
          <w:rFonts w:cs="Arial"/>
          <w:i w:val="0"/>
          <w:color w:val="1F4E79" w:themeColor="accent1" w:themeShade="80"/>
        </w:rPr>
        <w:t xml:space="preserve">resources is </w:t>
      </w:r>
      <w:r w:rsidR="0031124D" w:rsidRPr="0031124D">
        <w:rPr>
          <w:rFonts w:eastAsiaTheme="minorEastAsia" w:cs="Arial"/>
          <w:i w:val="0"/>
          <w:iCs w:val="0"/>
          <w:color w:val="1F4E79" w:themeColor="accent1" w:themeShade="80"/>
          <w:lang w:eastAsia="en-GB"/>
        </w:rPr>
        <w:t>also</w:t>
      </w:r>
      <w:r w:rsidR="0018380D" w:rsidRPr="00C1746B">
        <w:rPr>
          <w:rFonts w:cs="Arial"/>
          <w:i w:val="0"/>
          <w:color w:val="1F4E79" w:themeColor="accent1" w:themeShade="80"/>
        </w:rPr>
        <w:t xml:space="preserve"> </w:t>
      </w:r>
      <w:r w:rsidR="0031124D" w:rsidRPr="0031124D">
        <w:rPr>
          <w:rFonts w:eastAsiaTheme="minorEastAsia" w:cs="Arial"/>
          <w:i w:val="0"/>
          <w:iCs w:val="0"/>
          <w:color w:val="1F4E79" w:themeColor="accent1" w:themeShade="80"/>
          <w:lang w:eastAsia="en-GB"/>
        </w:rPr>
        <w:t>non-sustainable</w:t>
      </w:r>
      <w:r w:rsidR="00BD249A" w:rsidRPr="00C1746B">
        <w:rPr>
          <w:rFonts w:cs="Arial"/>
          <w:i w:val="0"/>
          <w:color w:val="1F4E79" w:themeColor="accent1" w:themeShade="80"/>
        </w:rPr>
        <w:t xml:space="preserve"> </w:t>
      </w:r>
      <w:r w:rsidRPr="00C1746B">
        <w:rPr>
          <w:rFonts w:cs="Arial"/>
          <w:i w:val="0"/>
          <w:color w:val="1F4E79" w:themeColor="accent1" w:themeShade="80"/>
        </w:rPr>
        <w:t>at national level.</w:t>
      </w:r>
      <w:r w:rsidR="00EB78B7" w:rsidRPr="00C1746B">
        <w:rPr>
          <w:rFonts w:cs="Arial"/>
          <w:i w:val="0"/>
          <w:color w:val="1F4E79" w:themeColor="accent1" w:themeShade="80"/>
        </w:rPr>
        <w:t xml:space="preserve"> </w:t>
      </w:r>
    </w:p>
    <w:p w:rsidR="00BB1CDC" w:rsidRPr="00BB1CDC" w:rsidRDefault="00BB1CDC" w:rsidP="00BB1CDC"/>
    <w:p w:rsidR="004C7C3C" w:rsidRDefault="004C7C3C" w:rsidP="004C7C3C">
      <w:pPr>
        <w:pStyle w:val="Heading3"/>
      </w:pPr>
      <w:r>
        <w:t>Economic indicators:</w:t>
      </w:r>
    </w:p>
    <w:p w:rsidR="00BB1CDC" w:rsidRPr="00BB1CDC" w:rsidRDefault="00BB1CDC" w:rsidP="00BB1CDC"/>
    <w:p w:rsidR="00AD744D" w:rsidRDefault="00230930" w:rsidP="00AD744D">
      <w:r>
        <w:t>The graphs below the annual average levels of economic flows measured by</w:t>
      </w:r>
      <w:r w:rsidR="00370D01">
        <w:t xml:space="preserve"> GDP constant value (CV) </w:t>
      </w:r>
      <w:r w:rsidR="00647314">
        <w:t>and P</w:t>
      </w:r>
      <w:r w:rsidR="00370D01">
        <w:t xml:space="preserve">urchasing </w:t>
      </w:r>
      <w:r w:rsidR="00647314">
        <w:t>P</w:t>
      </w:r>
      <w:r w:rsidR="00370D01">
        <w:t xml:space="preserve">ower </w:t>
      </w:r>
      <w:r w:rsidR="00647314">
        <w:t>P</w:t>
      </w:r>
      <w:r w:rsidR="00370D01">
        <w:t>arity (PPP)</w:t>
      </w:r>
      <w:r w:rsidR="00647314">
        <w:t xml:space="preserve"> pcy. </w:t>
      </w:r>
      <w:r>
        <w:t xml:space="preserve"> </w:t>
      </w:r>
    </w:p>
    <w:p w:rsidR="00AD744D" w:rsidRDefault="00AD744D" w:rsidP="00AD744D"/>
    <w:p w:rsidR="00AD744D" w:rsidRDefault="00AD744D" w:rsidP="00AD744D">
      <w:pPr>
        <w:pStyle w:val="Caption"/>
        <w:keepNext/>
        <w:jc w:val="center"/>
      </w:pPr>
      <w:r>
        <w:t xml:space="preserve">Figure </w:t>
      </w:r>
      <w:fldSimple w:instr=" SEQ Figure \* ARABIC ">
        <w:r>
          <w:rPr>
            <w:noProof/>
          </w:rPr>
          <w:t>5</w:t>
        </w:r>
      </w:fldSimple>
      <w:r>
        <w:t xml:space="preserve"> </w:t>
      </w:r>
      <w:r w:rsidRPr="00E55A99">
        <w:t>GDP CV pcy vs international average, dignity and excess thresholds 1961-2020</w:t>
      </w:r>
    </w:p>
    <w:p w:rsidR="00AD744D" w:rsidRDefault="00847772" w:rsidP="00AD744D">
      <w:pPr>
        <w:jc w:val="center"/>
      </w:pPr>
      <w:r>
        <w:pict>
          <v:shape id="_x0000_i1031" type="#_x0000_t75" style="width:356.25pt;height:198.95pt">
            <v:imagedata r:id="rId14" o:title=""/>
          </v:shape>
        </w:pict>
      </w:r>
    </w:p>
    <w:p w:rsidR="00AD744D" w:rsidRPr="00597E52" w:rsidRDefault="00AD744D" w:rsidP="00AD744D">
      <w:pPr>
        <w:rPr>
          <w:rFonts w:cs="Arial"/>
          <w:szCs w:val="18"/>
        </w:rPr>
      </w:pPr>
      <w:r w:rsidRPr="00597E52">
        <w:rPr>
          <w:rFonts w:cs="Arial"/>
          <w:szCs w:val="18"/>
        </w:rPr>
        <w:t xml:space="preserve">The above figure shows the trend of the GDP CV pc in </w:t>
      </w:r>
      <w:bookmarkStart w:id="4" w:name="OLE_LINK6"/>
      <w:r w:rsidR="0031124D" w:rsidRPr="0031124D">
        <w:rPr>
          <w:rFonts w:eastAsiaTheme="minorEastAsia" w:cs="Arial"/>
          <w:iCs/>
          <w:szCs w:val="18"/>
          <w:lang w:eastAsia="en-GB"/>
        </w:rPr>
        <w:t>Lebanon</w:t>
      </w:r>
      <w:bookmarkEnd w:id="4"/>
      <w:r w:rsidRPr="00597E52">
        <w:rPr>
          <w:rFonts w:cs="Arial"/>
          <w:szCs w:val="18"/>
        </w:rPr>
        <w:t xml:space="preserve"> in relation with the levels of the international average, the HRS reference (below which no country in 60 years has achieved the feasible best level of health for all –hence named “dignity threshold”-</w:t>
      </w:r>
      <w:r w:rsidR="00310104">
        <w:rPr>
          <w:rFonts w:cs="Arial"/>
          <w:szCs w:val="18"/>
        </w:rPr>
        <w:t>)</w:t>
      </w:r>
      <w:r w:rsidRPr="00597E52">
        <w:rPr>
          <w:rFonts w:cs="Arial"/>
          <w:szCs w:val="18"/>
        </w:rPr>
        <w:t xml:space="preserve"> and </w:t>
      </w:r>
      <w:r w:rsidR="00310104">
        <w:rPr>
          <w:rFonts w:cs="Arial"/>
          <w:szCs w:val="18"/>
        </w:rPr>
        <w:t xml:space="preserve">the </w:t>
      </w:r>
      <w:r w:rsidR="00915004">
        <w:rPr>
          <w:rFonts w:cs="Arial"/>
          <w:szCs w:val="18"/>
        </w:rPr>
        <w:t>upper limit (</w:t>
      </w:r>
      <w:r w:rsidRPr="00597E52">
        <w:rPr>
          <w:rFonts w:cs="Arial"/>
          <w:szCs w:val="18"/>
        </w:rPr>
        <w:t>symmetrical level above which wellbeing does not increase further while it hampers others’ reach of the dignity level and is not compatible with respecting planetary boundaries –hence named “excess threshold”</w:t>
      </w:r>
      <w:r w:rsidR="00915004">
        <w:rPr>
          <w:rFonts w:cs="Arial"/>
          <w:szCs w:val="18"/>
        </w:rPr>
        <w:t>-</w:t>
      </w:r>
      <w:r w:rsidRPr="00597E52">
        <w:rPr>
          <w:rFonts w:cs="Arial"/>
          <w:szCs w:val="18"/>
        </w:rPr>
        <w:t xml:space="preserve">). </w:t>
      </w:r>
      <w:r w:rsidR="00597E52" w:rsidRPr="00597E52">
        <w:rPr>
          <w:rFonts w:cs="Arial"/>
          <w:szCs w:val="18"/>
        </w:rPr>
        <w:t xml:space="preserve">The overall GDP of </w:t>
      </w:r>
      <w:r w:rsidR="0031124D" w:rsidRPr="0031124D">
        <w:rPr>
          <w:rFonts w:eastAsiaTheme="minorEastAsia" w:cs="Arial"/>
          <w:iCs/>
          <w:szCs w:val="18"/>
          <w:lang w:eastAsia="en-GB"/>
        </w:rPr>
        <w:t>Lebanon</w:t>
      </w:r>
      <w:r w:rsidR="00597E52" w:rsidRPr="00597E52">
        <w:rPr>
          <w:rFonts w:cs="Arial"/>
          <w:szCs w:val="18"/>
        </w:rPr>
        <w:t xml:space="preserve"> is $</w:t>
      </w:r>
      <w:r w:rsidR="0031124D" w:rsidRPr="0031124D">
        <w:rPr>
          <w:rFonts w:eastAsiaTheme="minorEastAsia" w:cs="Arial"/>
          <w:szCs w:val="18"/>
          <w:lang w:eastAsia="en-GB"/>
        </w:rPr>
        <w:t>51450616751</w:t>
      </w:r>
      <w:r w:rsidR="00597E52" w:rsidRPr="00597E52">
        <w:rPr>
          <w:rFonts w:cs="Arial"/>
          <w:szCs w:val="18"/>
        </w:rPr>
        <w:t xml:space="preserve">, </w:t>
      </w:r>
      <w:r w:rsidR="0031124D" w:rsidRPr="0031124D">
        <w:rPr>
          <w:rFonts w:eastAsiaTheme="minorEastAsia" w:cs="Arial"/>
          <w:i/>
          <w:iCs/>
          <w:szCs w:val="18"/>
          <w:lang w:eastAsia="en-GB"/>
        </w:rPr>
        <w:t>0.0630%</w:t>
      </w:r>
      <w:r w:rsidR="00597E52" w:rsidRPr="00597E52">
        <w:rPr>
          <w:rFonts w:cs="Arial"/>
          <w:szCs w:val="18"/>
        </w:rPr>
        <w:t xml:space="preserve"> of the world’s GDP (while being </w:t>
      </w:r>
      <w:r w:rsidR="0031124D" w:rsidRPr="0031124D">
        <w:rPr>
          <w:rFonts w:eastAsiaTheme="minorEastAsia" w:cs="Arial"/>
          <w:i/>
          <w:iCs/>
          <w:szCs w:val="18"/>
          <w:lang w:eastAsia="en-GB"/>
        </w:rPr>
        <w:t>0.0904%</w:t>
      </w:r>
      <w:r w:rsidR="00597E52" w:rsidRPr="00597E52">
        <w:rPr>
          <w:rFonts w:cs="Arial"/>
          <w:szCs w:val="18"/>
        </w:rPr>
        <w:t xml:space="preserve"> of the world’s population), which translates in GDP pc $</w:t>
      </w:r>
      <w:r w:rsidR="0031124D" w:rsidRPr="0031124D">
        <w:rPr>
          <w:rFonts w:eastAsiaTheme="minorEastAsia" w:cs="Arial"/>
          <w:szCs w:val="18"/>
          <w:lang w:eastAsia="en-GB"/>
        </w:rPr>
        <w:t>7649</w:t>
      </w:r>
      <w:r w:rsidR="00597E52" w:rsidRPr="00597E52">
        <w:rPr>
          <w:rFonts w:cs="Arial"/>
          <w:szCs w:val="18"/>
        </w:rPr>
        <w:t xml:space="preserve">pcy, as mentioned above, </w:t>
      </w:r>
      <w:r w:rsidR="0031124D" w:rsidRPr="0031124D">
        <w:rPr>
          <w:rFonts w:eastAsiaTheme="minorEastAsia" w:cs="Arial"/>
          <w:szCs w:val="18"/>
          <w:lang w:eastAsia="en-GB"/>
        </w:rPr>
        <w:t>70%</w:t>
      </w:r>
      <w:r w:rsidR="00597E52" w:rsidRPr="00597E52">
        <w:rPr>
          <w:rFonts w:cs="Arial"/>
          <w:szCs w:val="18"/>
        </w:rPr>
        <w:t xml:space="preserve"> of the international average and </w:t>
      </w:r>
      <w:r w:rsidR="0031124D" w:rsidRPr="0031124D">
        <w:rPr>
          <w:rFonts w:eastAsiaTheme="minorEastAsia" w:cs="Arial"/>
          <w:szCs w:val="18"/>
          <w:lang w:eastAsia="en-GB"/>
        </w:rPr>
        <w:t>196%</w:t>
      </w:r>
      <w:r w:rsidR="00597E52" w:rsidRPr="00597E52">
        <w:rPr>
          <w:rFonts w:cs="Arial"/>
          <w:szCs w:val="18"/>
        </w:rPr>
        <w:t xml:space="preserve"> of the HRS reference.</w:t>
      </w:r>
    </w:p>
    <w:p w:rsidR="00BE4F85" w:rsidRPr="00E963F0" w:rsidRDefault="00597E52" w:rsidP="00BE4F85">
      <w:pPr>
        <w:pStyle w:val="Caption"/>
        <w:keepNext/>
        <w:jc w:val="center"/>
        <w:rPr>
          <w:color w:val="1F4E79" w:themeColor="accent1" w:themeShade="80"/>
        </w:rPr>
      </w:pPr>
      <w:r>
        <w:rPr>
          <w:color w:val="1F4E79" w:themeColor="accent1" w:themeShade="80"/>
        </w:rPr>
        <w:lastRenderedPageBreak/>
        <w:t xml:space="preserve"> F</w:t>
      </w:r>
      <w:r w:rsidR="00BE4F85" w:rsidRPr="00E963F0">
        <w:rPr>
          <w:color w:val="1F4E79" w:themeColor="accent1" w:themeShade="80"/>
        </w:rPr>
        <w:t xml:space="preserve">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6</w:t>
      </w:r>
      <w:r w:rsidR="00AD744D">
        <w:rPr>
          <w:color w:val="1F4E79" w:themeColor="accent1" w:themeShade="80"/>
        </w:rPr>
        <w:fldChar w:fldCharType="end"/>
      </w:r>
      <w:r w:rsidR="00BE4F85" w:rsidRPr="00E963F0">
        <w:rPr>
          <w:color w:val="1F4E79" w:themeColor="accent1" w:themeShade="80"/>
        </w:rPr>
        <w:t xml:space="preserve"> GDP P</w:t>
      </w:r>
      <w:r w:rsidR="004B0385" w:rsidRPr="00E963F0">
        <w:rPr>
          <w:color w:val="1F4E79" w:themeColor="accent1" w:themeShade="80"/>
        </w:rPr>
        <w:t>PP pcy vs equity thresholds 1986</w:t>
      </w:r>
      <w:r w:rsidR="00BE4F85" w:rsidRPr="00E963F0">
        <w:rPr>
          <w:color w:val="1F4E79" w:themeColor="accent1" w:themeShade="80"/>
        </w:rPr>
        <w:t>-2020</w:t>
      </w:r>
    </w:p>
    <w:p w:rsidR="009B5073" w:rsidRPr="00EA013D" w:rsidRDefault="00847772" w:rsidP="00E2114C">
      <w:pPr>
        <w:jc w:val="center"/>
        <w:rPr>
          <w:rFonts w:cs="Arial"/>
        </w:rPr>
      </w:pPr>
      <w:r>
        <w:rPr>
          <w:rFonts w:cs="Arial"/>
        </w:rPr>
        <w:pict>
          <v:shape id="_x0000_i1032" type="#_x0000_t75" style="width:340pt;height:198.5pt">
            <v:imagedata r:id="rId15" o:title=""/>
          </v:shape>
        </w:pict>
      </w:r>
    </w:p>
    <w:p w:rsidR="0060009F" w:rsidRPr="00EA013D" w:rsidRDefault="0060009F" w:rsidP="006B5A81">
      <w:pPr>
        <w:rPr>
          <w:rFonts w:cs="Arial"/>
        </w:rPr>
      </w:pPr>
    </w:p>
    <w:p w:rsidR="009B5073" w:rsidRPr="008C77F0" w:rsidRDefault="00370D01" w:rsidP="006B5A81">
      <w:pPr>
        <w:rPr>
          <w:rFonts w:cs="Arial"/>
          <w:szCs w:val="18"/>
        </w:rPr>
      </w:pPr>
      <w:r w:rsidRPr="008C77F0">
        <w:rPr>
          <w:rFonts w:cs="Arial"/>
          <w:szCs w:val="18"/>
        </w:rPr>
        <w:t>The graphs above show th</w:t>
      </w:r>
      <w:r w:rsidR="0071566C" w:rsidRPr="008C77F0">
        <w:rPr>
          <w:rFonts w:cs="Arial"/>
          <w:szCs w:val="18"/>
        </w:rPr>
        <w:t>at</w:t>
      </w:r>
      <w:r w:rsidRPr="008C77F0">
        <w:rPr>
          <w:rFonts w:cs="Arial"/>
          <w:szCs w:val="18"/>
        </w:rPr>
        <w:t xml:space="preserve"> the </w:t>
      </w:r>
      <w:r w:rsidR="0071566C" w:rsidRPr="008C77F0">
        <w:rPr>
          <w:rFonts w:cs="Arial"/>
          <w:szCs w:val="18"/>
        </w:rPr>
        <w:t xml:space="preserve">level of </w:t>
      </w:r>
      <w:r w:rsidRPr="008C77F0">
        <w:rPr>
          <w:rFonts w:cs="Arial"/>
          <w:szCs w:val="18"/>
        </w:rPr>
        <w:t xml:space="preserve">GDP CV and PPP pcy </w:t>
      </w:r>
      <w:r w:rsidR="006B5A81" w:rsidRPr="008C77F0">
        <w:rPr>
          <w:rFonts w:cs="Arial"/>
          <w:szCs w:val="18"/>
        </w:rPr>
        <w:t xml:space="preserve">during the study period (1961-2020 for CV and 2000-2020 for PPP) </w:t>
      </w:r>
      <w:r w:rsidRPr="008C77F0">
        <w:rPr>
          <w:rFonts w:cs="Arial"/>
          <w:szCs w:val="18"/>
        </w:rPr>
        <w:t xml:space="preserve">in </w:t>
      </w:r>
      <w:r w:rsidR="0031124D" w:rsidRPr="0031124D">
        <w:rPr>
          <w:rFonts w:eastAsiaTheme="minorEastAsia" w:cs="Arial"/>
          <w:szCs w:val="18"/>
          <w:lang w:eastAsia="en-GB"/>
        </w:rPr>
        <w:t>Lebanon</w:t>
      </w:r>
      <w:r w:rsidR="0071566C" w:rsidRPr="008C77F0">
        <w:rPr>
          <w:rFonts w:cs="Arial"/>
          <w:szCs w:val="18"/>
        </w:rPr>
        <w:t xml:space="preserve"> is </w:t>
      </w:r>
      <w:r w:rsidR="0031124D" w:rsidRPr="0031124D">
        <w:rPr>
          <w:rFonts w:eastAsiaTheme="minorEastAsia" w:cs="Arial"/>
          <w:szCs w:val="18"/>
          <w:lang w:eastAsia="en-GB"/>
        </w:rPr>
        <w:t>replicable</w:t>
      </w:r>
      <w:r w:rsidR="0071566C" w:rsidRPr="008C77F0">
        <w:rPr>
          <w:rFonts w:cs="Arial"/>
          <w:szCs w:val="18"/>
        </w:rPr>
        <w:t xml:space="preserve"> globally considering the level of global economic resources.</w:t>
      </w:r>
    </w:p>
    <w:p w:rsidR="000F3995" w:rsidRPr="00E963F0" w:rsidRDefault="000F3995" w:rsidP="000F3995">
      <w:pPr>
        <w:pStyle w:val="Caption"/>
        <w:keepNext/>
        <w:jc w:val="center"/>
        <w:rPr>
          <w:color w:val="1F4E79" w:themeColor="accent1" w:themeShade="80"/>
        </w:rPr>
      </w:pPr>
      <w:r w:rsidRPr="00E963F0">
        <w:rPr>
          <w:color w:val="1F4E79" w:themeColor="accent1" w:themeShade="80"/>
        </w:rPr>
        <w:t xml:space="preserve">Figure </w:t>
      </w:r>
      <w:r>
        <w:rPr>
          <w:color w:val="1F4E79" w:themeColor="accent1" w:themeShade="80"/>
        </w:rPr>
        <w:fldChar w:fldCharType="begin"/>
      </w:r>
      <w:r>
        <w:rPr>
          <w:color w:val="1F4E79" w:themeColor="accent1" w:themeShade="80"/>
        </w:rPr>
        <w:instrText xml:space="preserve"> SEQ Figure \* ARABIC </w:instrText>
      </w:r>
      <w:r>
        <w:rPr>
          <w:color w:val="1F4E79" w:themeColor="accent1" w:themeShade="80"/>
        </w:rPr>
        <w:fldChar w:fldCharType="separate"/>
      </w:r>
      <w:r>
        <w:rPr>
          <w:noProof/>
          <w:color w:val="1F4E79" w:themeColor="accent1" w:themeShade="80"/>
        </w:rPr>
        <w:t>7</w:t>
      </w:r>
      <w:r>
        <w:rPr>
          <w:color w:val="1F4E79" w:themeColor="accent1" w:themeShade="80"/>
        </w:rPr>
        <w:fldChar w:fldCharType="end"/>
      </w:r>
      <w:r w:rsidRPr="00E963F0">
        <w:rPr>
          <w:color w:val="1F4E79" w:themeColor="accent1" w:themeShade="80"/>
        </w:rPr>
        <w:t xml:space="preserve"> ODA flow pcy (provided/received) 1961-2020</w:t>
      </w:r>
    </w:p>
    <w:p w:rsidR="000F3995" w:rsidRPr="00E963F0" w:rsidRDefault="00847772" w:rsidP="000F3995">
      <w:pPr>
        <w:jc w:val="center"/>
      </w:pPr>
      <w:r>
        <w:rPr>
          <w:noProof/>
          <w:lang w:eastAsia="en-GB"/>
        </w:rPr>
        <w:pict>
          <v:shape id="_x0000_i1033" type="#_x0000_t75" style="width:339.2pt;height:198.5pt">
            <v:imagedata r:id="rId16" o:title=""/>
          </v:shape>
        </w:pict>
      </w:r>
    </w:p>
    <w:p w:rsidR="000F3995" w:rsidRPr="00E963F0" w:rsidRDefault="000F3995" w:rsidP="000F3995">
      <w:pPr>
        <w:jc w:val="center"/>
      </w:pPr>
    </w:p>
    <w:p w:rsidR="009251FF" w:rsidRPr="00D93572" w:rsidRDefault="008C77F0" w:rsidP="0060009F">
      <w:pPr>
        <w:rPr>
          <w:rFonts w:cs="Arial"/>
          <w:szCs w:val="18"/>
        </w:rPr>
        <w:sectPr w:rsidR="009251FF" w:rsidRPr="00D93572">
          <w:pgSz w:w="11906" w:h="16838"/>
          <w:pgMar w:top="1440" w:right="1440" w:bottom="1440" w:left="1440" w:header="708" w:footer="708" w:gutter="0"/>
          <w:cols w:space="708"/>
          <w:docGrid w:linePitch="360"/>
        </w:sectPr>
      </w:pPr>
      <w:r>
        <w:rPr>
          <w:rFonts w:cs="Arial"/>
          <w:szCs w:val="18"/>
        </w:rPr>
        <w:t>The figure</w:t>
      </w:r>
      <w:r w:rsidR="000F3995" w:rsidRPr="00D93572">
        <w:rPr>
          <w:rFonts w:cs="Arial"/>
          <w:szCs w:val="18"/>
        </w:rPr>
        <w:t xml:space="preserve"> above show</w:t>
      </w:r>
      <w:r>
        <w:rPr>
          <w:rFonts w:cs="Arial"/>
          <w:szCs w:val="18"/>
        </w:rPr>
        <w:t>s</w:t>
      </w:r>
      <w:r w:rsidR="000F3995" w:rsidRPr="00D93572">
        <w:rPr>
          <w:rFonts w:cs="Arial"/>
          <w:szCs w:val="18"/>
        </w:rPr>
        <w:t xml:space="preserve"> the levels of ODA pcy. </w:t>
      </w:r>
      <w:r w:rsidR="00F340F0" w:rsidRPr="00D93572">
        <w:rPr>
          <w:rFonts w:cs="Arial"/>
          <w:szCs w:val="18"/>
        </w:rPr>
        <w:t>I</w:t>
      </w:r>
      <w:r w:rsidR="000F3995" w:rsidRPr="00D93572">
        <w:rPr>
          <w:rFonts w:cs="Arial"/>
          <w:szCs w:val="18"/>
        </w:rPr>
        <w:t xml:space="preserve">n relation with </w:t>
      </w:r>
      <w:r w:rsidR="0031124D" w:rsidRPr="0031124D">
        <w:rPr>
          <w:rFonts w:eastAsiaTheme="minorEastAsia" w:cs="Arial"/>
          <w:szCs w:val="18"/>
          <w:lang w:eastAsia="en-GB"/>
        </w:rPr>
        <w:t>none</w:t>
      </w:r>
      <w:r>
        <w:rPr>
          <w:rFonts w:cs="Arial"/>
          <w:szCs w:val="18"/>
        </w:rPr>
        <w:t xml:space="preserve"> </w:t>
      </w:r>
      <w:r w:rsidR="000F3995" w:rsidRPr="00D93572">
        <w:rPr>
          <w:rFonts w:cs="Arial"/>
          <w:szCs w:val="18"/>
        </w:rPr>
        <w:t xml:space="preserve">required </w:t>
      </w:r>
      <w:r w:rsidR="00F340F0" w:rsidRPr="00D93572">
        <w:rPr>
          <w:rFonts w:cs="Arial"/>
          <w:szCs w:val="18"/>
        </w:rPr>
        <w:t xml:space="preserve">international redistribution of $ </w:t>
      </w:r>
      <w:r w:rsidR="0031124D" w:rsidRPr="0031124D">
        <w:rPr>
          <w:rFonts w:eastAsiaTheme="minorEastAsia" w:cs="Arial"/>
          <w:szCs w:val="18"/>
          <w:lang w:eastAsia="en-GB"/>
        </w:rPr>
        <w:t>0</w:t>
      </w:r>
      <w:r w:rsidR="00F340F0" w:rsidRPr="00D93572">
        <w:rPr>
          <w:rFonts w:cs="Arial"/>
          <w:szCs w:val="18"/>
        </w:rPr>
        <w:t xml:space="preserve"> pcy </w:t>
      </w:r>
      <w:r w:rsidR="000F3995" w:rsidRPr="00D93572">
        <w:rPr>
          <w:rFonts w:cs="Arial"/>
          <w:szCs w:val="18"/>
        </w:rPr>
        <w:t>to enable global economic and health equity</w:t>
      </w:r>
      <w:r w:rsidR="000169D1" w:rsidRPr="00D93572">
        <w:rPr>
          <w:rFonts w:cs="Arial"/>
          <w:szCs w:val="18"/>
        </w:rPr>
        <w:t xml:space="preserve">, </w:t>
      </w:r>
      <w:r w:rsidR="0031124D" w:rsidRPr="0031124D">
        <w:rPr>
          <w:rFonts w:cs="Arial"/>
          <w:szCs w:val="18"/>
          <w:lang w:eastAsia="en-GB"/>
        </w:rPr>
        <w:t>Lebanon</w:t>
      </w:r>
      <w:r w:rsidR="000169D1" w:rsidRPr="00D93572">
        <w:rPr>
          <w:rFonts w:cs="Arial"/>
          <w:szCs w:val="18"/>
        </w:rPr>
        <w:t xml:space="preserve"> </w:t>
      </w:r>
      <w:r>
        <w:rPr>
          <w:rFonts w:cs="Arial"/>
          <w:szCs w:val="18"/>
        </w:rPr>
        <w:t xml:space="preserve">received </w:t>
      </w:r>
      <w:r w:rsidR="002A0164" w:rsidRPr="00D93572">
        <w:rPr>
          <w:rFonts w:cs="Arial"/>
          <w:szCs w:val="18"/>
        </w:rPr>
        <w:t xml:space="preserve"> </w:t>
      </w:r>
      <w:r w:rsidR="00D93572" w:rsidRPr="00D93572">
        <w:rPr>
          <w:rFonts w:cs="Arial"/>
          <w:szCs w:val="18"/>
        </w:rPr>
        <w:t xml:space="preserve">an </w:t>
      </w:r>
      <w:r w:rsidR="00C1746B" w:rsidRPr="00D93572">
        <w:rPr>
          <w:rFonts w:cs="Arial"/>
          <w:szCs w:val="18"/>
        </w:rPr>
        <w:t xml:space="preserve">annual average during 2016-2020 </w:t>
      </w:r>
      <w:r>
        <w:rPr>
          <w:rFonts w:cs="Arial"/>
          <w:szCs w:val="18"/>
        </w:rPr>
        <w:t xml:space="preserve">of </w:t>
      </w:r>
      <w:r w:rsidR="00F340F0" w:rsidRPr="00D93572">
        <w:rPr>
          <w:rFonts w:cs="Arial"/>
          <w:szCs w:val="18"/>
        </w:rPr>
        <w:t xml:space="preserve">$ </w:t>
      </w:r>
      <w:r w:rsidR="0031124D" w:rsidRPr="0031124D">
        <w:rPr>
          <w:rFonts w:eastAsiaTheme="minorEastAsia" w:cs="Arial"/>
          <w:szCs w:val="18"/>
          <w:lang w:eastAsia="en-GB"/>
        </w:rPr>
        <w:t>26.84</w:t>
      </w:r>
      <w:r>
        <w:rPr>
          <w:rFonts w:eastAsiaTheme="minorEastAsia" w:cs="Arial"/>
          <w:szCs w:val="18"/>
          <w:lang w:eastAsia="en-GB"/>
        </w:rPr>
        <w:t xml:space="preserve"> pcy .</w:t>
      </w:r>
    </w:p>
    <w:p w:rsidR="0060009F" w:rsidRDefault="0060009F" w:rsidP="0060009F">
      <w:pPr>
        <w:pStyle w:val="Heading3"/>
      </w:pPr>
      <w:r>
        <w:lastRenderedPageBreak/>
        <w:t>Health indicators:</w:t>
      </w:r>
    </w:p>
    <w:p w:rsidR="0060009F" w:rsidRDefault="0060009F" w:rsidP="0060009F"/>
    <w:p w:rsidR="0060009F" w:rsidRPr="0060009F" w:rsidRDefault="0060009F" w:rsidP="0060009F">
      <w:r>
        <w:t xml:space="preserve">The graphs below represent the level of life expectancy at birth evolving over time from 1961 until 2020, and comparing the </w:t>
      </w:r>
      <w:r w:rsidRPr="00EA013D">
        <w:t xml:space="preserve">levels </w:t>
      </w:r>
      <w:r w:rsidRPr="00EA013D">
        <w:rPr>
          <w:rFonts w:cs="Arial"/>
          <w:szCs w:val="18"/>
        </w:rPr>
        <w:t xml:space="preserve">of </w:t>
      </w:r>
      <w:r w:rsidR="0031124D" w:rsidRPr="0031124D">
        <w:rPr>
          <w:rFonts w:eastAsiaTheme="minorEastAsia" w:cs="Arial"/>
          <w:szCs w:val="18"/>
          <w:lang w:eastAsia="en-GB"/>
        </w:rPr>
        <w:t>Lebanon</w:t>
      </w:r>
      <w:r w:rsidR="00EA013D" w:rsidRPr="00EA013D">
        <w:rPr>
          <w:rFonts w:cs="Arial"/>
          <w:szCs w:val="18"/>
        </w:rPr>
        <w:t xml:space="preserve"> </w:t>
      </w:r>
      <w:r w:rsidRPr="00EA013D">
        <w:rPr>
          <w:rFonts w:cs="Arial"/>
          <w:szCs w:val="18"/>
        </w:rPr>
        <w:t>with those</w:t>
      </w:r>
      <w:r>
        <w:rPr>
          <w:rFonts w:cs="Arial"/>
          <w:szCs w:val="18"/>
        </w:rPr>
        <w:t xml:space="preserve"> of the international average and the HRS reference. </w:t>
      </w:r>
    </w:p>
    <w:p w:rsidR="00E2114C" w:rsidRPr="00E963F0" w:rsidRDefault="00E2114C" w:rsidP="0060009F"/>
    <w:p w:rsidR="00BE4F85" w:rsidRDefault="00847772" w:rsidP="00BE4F85">
      <w:pPr>
        <w:pStyle w:val="Caption"/>
        <w:keepNext/>
        <w:jc w:val="center"/>
        <w:rPr>
          <w:color w:val="1F4E79" w:themeColor="accent1" w:themeShade="80"/>
        </w:rPr>
      </w:pPr>
      <w:r>
        <w:rPr>
          <w:noProof/>
        </w:rPr>
        <w:pict>
          <v:shape id="_x0000_s1100" type="#_x0000_t75" style="position:absolute;left:0;text-align:left;margin-left:-.35pt;margin-top:18.5pt;width:691.45pt;height:269.65pt;z-index:251675648">
            <v:imagedata r:id="rId17" o:title=""/>
          </v:shape>
        </w:pict>
      </w:r>
      <w:r w:rsidR="00BE4F85"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10</w:t>
      </w:r>
      <w:r w:rsidR="00AD744D">
        <w:rPr>
          <w:color w:val="1F4E79" w:themeColor="accent1" w:themeShade="80"/>
        </w:rPr>
        <w:fldChar w:fldCharType="end"/>
      </w:r>
      <w:r w:rsidR="00BE4F85" w:rsidRPr="00E963F0">
        <w:rPr>
          <w:color w:val="1F4E79" w:themeColor="accent1" w:themeShade="80"/>
        </w:rPr>
        <w:t xml:space="preserve"> Life exp</w:t>
      </w:r>
      <w:r w:rsidR="00504C4E">
        <w:rPr>
          <w:color w:val="1F4E79" w:themeColor="accent1" w:themeShade="80"/>
        </w:rPr>
        <w:t xml:space="preserve">ectancy by sex and time periods </w:t>
      </w:r>
      <w:r w:rsidR="00BE4F85" w:rsidRPr="00E963F0">
        <w:rPr>
          <w:color w:val="1F4E79" w:themeColor="accent1" w:themeShade="80"/>
        </w:rPr>
        <w:t>vs</w:t>
      </w:r>
      <w:r w:rsidR="00504C4E">
        <w:rPr>
          <w:color w:val="1F4E79" w:themeColor="accent1" w:themeShade="80"/>
        </w:rPr>
        <w:t>.</w:t>
      </w:r>
      <w:r w:rsidR="00BE4F85" w:rsidRPr="00E963F0">
        <w:rPr>
          <w:color w:val="1F4E79" w:themeColor="accent1" w:themeShade="80"/>
        </w:rPr>
        <w:t xml:space="preserve"> </w:t>
      </w:r>
      <w:r w:rsidR="004B0385" w:rsidRPr="00E963F0">
        <w:rPr>
          <w:color w:val="1F4E79" w:themeColor="accent1" w:themeShade="80"/>
        </w:rPr>
        <w:t>international</w:t>
      </w:r>
      <w:r w:rsidR="00504C4E">
        <w:rPr>
          <w:color w:val="1F4E79" w:themeColor="accent1" w:themeShade="80"/>
        </w:rPr>
        <w:t xml:space="preserve"> average and HRS reference, </w:t>
      </w:r>
      <w:r w:rsidR="00BE4F85" w:rsidRPr="00E963F0">
        <w:rPr>
          <w:color w:val="1F4E79" w:themeColor="accent1" w:themeShade="80"/>
        </w:rPr>
        <w:t>1961-2020</w:t>
      </w:r>
    </w:p>
    <w:p w:rsidR="00931886" w:rsidRDefault="00931886" w:rsidP="00931886"/>
    <w:p w:rsidR="00931886" w:rsidRPr="00931886" w:rsidRDefault="00931886" w:rsidP="00931886"/>
    <w:p w:rsidR="0018380D" w:rsidRDefault="0018380D" w:rsidP="00931886">
      <w:pPr>
        <w:jc w:val="center"/>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F5C7A" w:rsidRDefault="001F5C7A" w:rsidP="007B0146">
      <w:pPr>
        <w:spacing w:after="0"/>
        <w:rPr>
          <w:rFonts w:cs="Arial"/>
          <w:szCs w:val="18"/>
        </w:rPr>
      </w:pPr>
    </w:p>
    <w:p w:rsidR="001F5C7A" w:rsidRDefault="001F5C7A" w:rsidP="007B0146">
      <w:pPr>
        <w:spacing w:after="0"/>
        <w:rPr>
          <w:rFonts w:cs="Arial"/>
          <w:szCs w:val="18"/>
        </w:rPr>
      </w:pPr>
    </w:p>
    <w:p w:rsidR="007B0146" w:rsidRPr="00C03058" w:rsidRDefault="0060009F" w:rsidP="007B0146">
      <w:pPr>
        <w:spacing w:after="0"/>
        <w:rPr>
          <w:rFonts w:cs="Arial"/>
          <w:szCs w:val="18"/>
        </w:rPr>
      </w:pPr>
      <w:r w:rsidRPr="00C03058">
        <w:rPr>
          <w:rFonts w:cs="Arial"/>
          <w:szCs w:val="18"/>
        </w:rPr>
        <w:t xml:space="preserve">The graph above shows </w:t>
      </w:r>
      <w:r w:rsidR="00C03058">
        <w:rPr>
          <w:rFonts w:cs="Arial"/>
          <w:szCs w:val="18"/>
        </w:rPr>
        <w:t xml:space="preserve">the relation of </w:t>
      </w:r>
      <w:r w:rsidRPr="00C03058">
        <w:rPr>
          <w:rFonts w:cs="Arial"/>
          <w:szCs w:val="18"/>
        </w:rPr>
        <w:t xml:space="preserve">life expectancy in </w:t>
      </w:r>
      <w:r w:rsidR="0031124D" w:rsidRPr="0031124D">
        <w:rPr>
          <w:rFonts w:eastAsiaTheme="minorEastAsia" w:cs="Arial"/>
          <w:szCs w:val="18"/>
          <w:lang w:eastAsia="en-GB"/>
        </w:rPr>
        <w:t>Lebanon</w:t>
      </w:r>
      <w:r w:rsidRPr="00C03058">
        <w:rPr>
          <w:rFonts w:cs="Arial"/>
          <w:szCs w:val="18"/>
        </w:rPr>
        <w:t>, between 1961-</w:t>
      </w:r>
      <w:r w:rsidR="00504C4E" w:rsidRPr="00C03058">
        <w:rPr>
          <w:rFonts w:cs="Arial"/>
          <w:szCs w:val="18"/>
        </w:rPr>
        <w:t>2020;</w:t>
      </w:r>
      <w:r w:rsidRPr="00C03058">
        <w:rPr>
          <w:rFonts w:cs="Arial"/>
          <w:szCs w:val="18"/>
        </w:rPr>
        <w:t xml:space="preserve"> </w:t>
      </w:r>
      <w:r w:rsidR="00C03058">
        <w:rPr>
          <w:rFonts w:cs="Arial"/>
          <w:szCs w:val="18"/>
        </w:rPr>
        <w:t xml:space="preserve">with </w:t>
      </w:r>
      <w:r w:rsidRPr="00C03058">
        <w:rPr>
          <w:rFonts w:cs="Arial"/>
          <w:szCs w:val="18"/>
        </w:rPr>
        <w:t xml:space="preserve">the </w:t>
      </w:r>
      <w:r w:rsidR="00550B0F" w:rsidRPr="00C03058">
        <w:rPr>
          <w:rFonts w:cs="Arial"/>
          <w:szCs w:val="18"/>
        </w:rPr>
        <w:t>international</w:t>
      </w:r>
      <w:r w:rsidRPr="00C03058">
        <w:rPr>
          <w:rFonts w:cs="Arial"/>
          <w:szCs w:val="18"/>
        </w:rPr>
        <w:t xml:space="preserve"> average and the HRS reference. </w:t>
      </w:r>
      <w:r w:rsidR="00931886">
        <w:rPr>
          <w:rFonts w:cs="Arial"/>
          <w:szCs w:val="18"/>
        </w:rPr>
        <w:t xml:space="preserve">Such gap is </w:t>
      </w:r>
      <w:r w:rsidRPr="00C03058">
        <w:rPr>
          <w:rFonts w:cs="Arial"/>
          <w:szCs w:val="18"/>
        </w:rPr>
        <w:t xml:space="preserve">today </w:t>
      </w:r>
      <w:r w:rsidR="0031124D" w:rsidRPr="0031124D">
        <w:rPr>
          <w:rFonts w:eastAsiaTheme="minorEastAsia" w:cs="Arial"/>
          <w:szCs w:val="18"/>
          <w:lang w:eastAsia="en-GB"/>
        </w:rPr>
        <w:t>6.10</w:t>
      </w:r>
      <w:r w:rsidR="007B0146" w:rsidRPr="00C03058">
        <w:rPr>
          <w:rFonts w:cs="Arial"/>
          <w:szCs w:val="18"/>
        </w:rPr>
        <w:t xml:space="preserve"> </w:t>
      </w:r>
      <w:r w:rsidR="0031124D" w:rsidRPr="0031124D">
        <w:rPr>
          <w:rFonts w:eastAsiaTheme="minorEastAsia" w:cs="Arial"/>
          <w:szCs w:val="18"/>
          <w:lang w:eastAsia="en-GB"/>
        </w:rPr>
        <w:t>above</w:t>
      </w:r>
      <w:r w:rsidR="007B0146" w:rsidRPr="00C03058">
        <w:rPr>
          <w:rFonts w:cs="Arial"/>
          <w:szCs w:val="18"/>
        </w:rPr>
        <w:t xml:space="preserve"> the international average in women and </w:t>
      </w:r>
      <w:r w:rsidR="0031124D" w:rsidRPr="0031124D">
        <w:rPr>
          <w:rFonts w:eastAsiaTheme="minorEastAsia" w:cs="Arial"/>
          <w:szCs w:val="18"/>
          <w:lang w:eastAsia="en-GB"/>
        </w:rPr>
        <w:t>6.70</w:t>
      </w:r>
      <w:r w:rsidR="007B0146" w:rsidRPr="00C03058">
        <w:rPr>
          <w:rFonts w:cs="Arial"/>
          <w:szCs w:val="18"/>
        </w:rPr>
        <w:t xml:space="preserve"> </w:t>
      </w:r>
      <w:r w:rsidR="0031124D" w:rsidRPr="0031124D">
        <w:rPr>
          <w:rFonts w:eastAsiaTheme="minorEastAsia" w:cs="Arial"/>
          <w:szCs w:val="18"/>
          <w:lang w:eastAsia="en-GB"/>
        </w:rPr>
        <w:t>above</w:t>
      </w:r>
      <w:r w:rsidR="007B0146" w:rsidRPr="00C03058">
        <w:rPr>
          <w:rFonts w:cs="Arial"/>
          <w:szCs w:val="18"/>
        </w:rPr>
        <w:t xml:space="preserve"> in men, and </w:t>
      </w:r>
      <w:r w:rsidR="0031124D" w:rsidRPr="0031124D">
        <w:rPr>
          <w:rFonts w:eastAsiaTheme="minorEastAsia" w:cs="Arial"/>
          <w:szCs w:val="18"/>
          <w:lang w:eastAsia="en-GB"/>
        </w:rPr>
        <w:t>0.81</w:t>
      </w:r>
      <w:r w:rsidR="007B0146" w:rsidRPr="00C03058">
        <w:rPr>
          <w:rFonts w:cs="Arial"/>
          <w:szCs w:val="18"/>
        </w:rPr>
        <w:t xml:space="preserve"> years </w:t>
      </w:r>
      <w:r w:rsidR="0031124D" w:rsidRPr="0031124D">
        <w:rPr>
          <w:rFonts w:eastAsiaTheme="minorEastAsia" w:cs="Arial"/>
          <w:szCs w:val="18"/>
          <w:lang w:eastAsia="en-GB"/>
        </w:rPr>
        <w:t>above</w:t>
      </w:r>
      <w:r w:rsidR="007B0146" w:rsidRPr="00C03058">
        <w:rPr>
          <w:rFonts w:cs="Arial"/>
          <w:szCs w:val="18"/>
        </w:rPr>
        <w:t xml:space="preserve"> in women and </w:t>
      </w:r>
      <w:r w:rsidR="0031124D" w:rsidRPr="0031124D">
        <w:rPr>
          <w:rFonts w:eastAsiaTheme="minorEastAsia" w:cs="Arial"/>
          <w:szCs w:val="18"/>
          <w:lang w:eastAsia="en-GB"/>
        </w:rPr>
        <w:t>3.86</w:t>
      </w:r>
      <w:r w:rsidR="007B0146" w:rsidRPr="00C03058">
        <w:rPr>
          <w:rFonts w:cs="Arial"/>
          <w:szCs w:val="18"/>
        </w:rPr>
        <w:t xml:space="preserve"> </w:t>
      </w:r>
      <w:r w:rsidR="0031124D" w:rsidRPr="0031124D">
        <w:rPr>
          <w:rFonts w:eastAsiaTheme="minorEastAsia" w:cs="Arial"/>
          <w:szCs w:val="18"/>
          <w:lang w:eastAsia="en-GB"/>
        </w:rPr>
        <w:t>above</w:t>
      </w:r>
      <w:r w:rsidR="007B0146" w:rsidRPr="00C03058">
        <w:rPr>
          <w:rFonts w:cs="Arial"/>
          <w:szCs w:val="18"/>
        </w:rPr>
        <w:t xml:space="preserve"> in men than the</w:t>
      </w:r>
      <w:r w:rsidR="00C03058">
        <w:rPr>
          <w:rFonts w:cs="Arial"/>
          <w:szCs w:val="18"/>
        </w:rPr>
        <w:t xml:space="preserve"> HRS reference</w:t>
      </w:r>
      <w:r w:rsidR="007B0146" w:rsidRPr="00C03058">
        <w:rPr>
          <w:rFonts w:cs="Arial"/>
          <w:szCs w:val="18"/>
        </w:rPr>
        <w:t>.</w:t>
      </w:r>
    </w:p>
    <w:p w:rsidR="009251FF" w:rsidRPr="00E963F0" w:rsidRDefault="009251FF" w:rsidP="0060009F">
      <w:pPr>
        <w:sectPr w:rsidR="009251FF" w:rsidRPr="00E963F0" w:rsidSect="009251FF">
          <w:pgSz w:w="16838" w:h="11906" w:orient="landscape"/>
          <w:pgMar w:top="1440" w:right="1440" w:bottom="1440" w:left="1440" w:header="708" w:footer="708" w:gutter="0"/>
          <w:cols w:space="708"/>
          <w:docGrid w:linePitch="360"/>
        </w:sectP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11</w:t>
      </w:r>
      <w:r w:rsidR="00AD744D">
        <w:rPr>
          <w:color w:val="1F4E79" w:themeColor="accent1" w:themeShade="80"/>
        </w:rPr>
        <w:fldChar w:fldCharType="end"/>
      </w:r>
      <w:r w:rsidRPr="00E963F0">
        <w:rPr>
          <w:color w:val="1F4E79" w:themeColor="accent1" w:themeShade="80"/>
        </w:rPr>
        <w:t xml:space="preserve"> Healthy life expectancy vs international average and HRS standard, 1996-2020</w:t>
      </w:r>
    </w:p>
    <w:p w:rsidR="009251FF" w:rsidRPr="00E963F0" w:rsidRDefault="00847772" w:rsidP="00E2114C">
      <w:pPr>
        <w:jc w:val="center"/>
      </w:pPr>
      <w:r>
        <w:pict>
          <v:shape id="_x0000_i1034" type="#_x0000_t75" style="width:340pt;height:198.5pt">
            <v:imagedata r:id="rId18" o:title=""/>
          </v:shape>
        </w:pict>
      </w:r>
    </w:p>
    <w:p w:rsidR="004B0385" w:rsidRPr="001B1D52" w:rsidRDefault="007B0146" w:rsidP="007B0146">
      <w:pPr>
        <w:rPr>
          <w:rFonts w:cs="Arial"/>
          <w:szCs w:val="18"/>
        </w:rPr>
      </w:pPr>
      <w:r w:rsidRPr="001B1D52">
        <w:rPr>
          <w:rFonts w:cs="Arial"/>
          <w:szCs w:val="18"/>
        </w:rPr>
        <w:t>The</w:t>
      </w:r>
      <w:r w:rsidR="00BC0230" w:rsidRPr="001B1D52">
        <w:rPr>
          <w:rFonts w:cs="Arial"/>
          <w:szCs w:val="18"/>
        </w:rPr>
        <w:t xml:space="preserve"> estimates of the World Health O</w:t>
      </w:r>
      <w:r w:rsidRPr="001B1D52">
        <w:rPr>
          <w:rFonts w:cs="Arial"/>
          <w:szCs w:val="18"/>
        </w:rPr>
        <w:t>rganization, of the healthy life expectancy (HALE), accounting for disabi</w:t>
      </w:r>
      <w:r w:rsidR="00504C4E" w:rsidRPr="001B1D52">
        <w:rPr>
          <w:rFonts w:cs="Arial"/>
          <w:szCs w:val="18"/>
        </w:rPr>
        <w:t xml:space="preserve">lity as well, reflect that the trend </w:t>
      </w:r>
      <w:r w:rsidRPr="001B1D52">
        <w:rPr>
          <w:rFonts w:cs="Arial"/>
          <w:szCs w:val="18"/>
        </w:rPr>
        <w:t xml:space="preserve">of HALE </w:t>
      </w:r>
      <w:r w:rsidR="00504C4E" w:rsidRPr="001B1D52">
        <w:rPr>
          <w:rFonts w:cs="Arial"/>
          <w:szCs w:val="18"/>
        </w:rPr>
        <w:t>in</w:t>
      </w:r>
      <w:r w:rsidR="001B1D52" w:rsidRPr="001B1D52">
        <w:rPr>
          <w:rFonts w:cs="Arial"/>
          <w:szCs w:val="18"/>
        </w:rPr>
        <w:t xml:space="preserve"> </w:t>
      </w:r>
      <w:r w:rsidR="0031124D" w:rsidRPr="0031124D">
        <w:rPr>
          <w:rFonts w:eastAsiaTheme="minorEastAsia" w:cs="Arial"/>
          <w:szCs w:val="18"/>
          <w:lang w:eastAsia="en-GB"/>
        </w:rPr>
        <w:t>Lebanon</w:t>
      </w:r>
      <w:r w:rsidR="001B1D52" w:rsidRPr="001B1D52">
        <w:rPr>
          <w:rFonts w:cs="Arial"/>
          <w:szCs w:val="18"/>
        </w:rPr>
        <w:t>, in</w:t>
      </w:r>
      <w:r w:rsidR="00504C4E" w:rsidRPr="001B1D52">
        <w:rPr>
          <w:rFonts w:cs="Arial"/>
          <w:szCs w:val="18"/>
        </w:rPr>
        <w:t xml:space="preserve"> relation with </w:t>
      </w:r>
      <w:r w:rsidRPr="001B1D52">
        <w:rPr>
          <w:rFonts w:cs="Arial"/>
          <w:szCs w:val="18"/>
        </w:rPr>
        <w:t>the international and HRS average</w:t>
      </w:r>
      <w:r w:rsidR="00550B0F" w:rsidRPr="001B1D52">
        <w:rPr>
          <w:rFonts w:cs="Arial"/>
          <w:szCs w:val="18"/>
        </w:rPr>
        <w:t>.</w:t>
      </w:r>
      <w:r w:rsidR="00504C4E" w:rsidRPr="001B1D52">
        <w:rPr>
          <w:rFonts w:cs="Arial"/>
          <w:szCs w:val="18"/>
        </w:rPr>
        <w:t xml:space="preserve"> At present, the estimated level of healthy life expectancy in </w:t>
      </w:r>
      <w:r w:rsidR="0031124D" w:rsidRPr="0031124D">
        <w:rPr>
          <w:rFonts w:eastAsiaTheme="minorEastAsia" w:cs="Arial"/>
          <w:szCs w:val="18"/>
          <w:lang w:eastAsia="en-GB"/>
        </w:rPr>
        <w:t>Lebanon</w:t>
      </w:r>
      <w:r w:rsidR="001B1D52" w:rsidRPr="001B1D52">
        <w:rPr>
          <w:rFonts w:cs="Arial"/>
          <w:szCs w:val="18"/>
        </w:rPr>
        <w:t xml:space="preserve"> is </w:t>
      </w:r>
      <w:r w:rsidR="0031124D" w:rsidRPr="0031124D">
        <w:rPr>
          <w:rFonts w:eastAsiaTheme="minorEastAsia" w:cs="Arial"/>
          <w:szCs w:val="18"/>
          <w:lang w:eastAsia="en-GB"/>
        </w:rPr>
        <w:t>103%</w:t>
      </w:r>
      <w:r w:rsidR="001B1D52" w:rsidRPr="001B1D52">
        <w:rPr>
          <w:rFonts w:cs="Arial"/>
          <w:szCs w:val="18"/>
        </w:rPr>
        <w:t xml:space="preserve"> of the international average and </w:t>
      </w:r>
      <w:r w:rsidR="0031124D" w:rsidRPr="0031124D">
        <w:rPr>
          <w:rFonts w:eastAsiaTheme="minorEastAsia" w:cs="Arial"/>
          <w:szCs w:val="18"/>
          <w:lang w:eastAsia="en-GB"/>
        </w:rPr>
        <w:t>98%</w:t>
      </w:r>
      <w:r w:rsidR="001B1D52" w:rsidRPr="001B1D52">
        <w:rPr>
          <w:rFonts w:cs="Arial"/>
          <w:szCs w:val="18"/>
        </w:rPr>
        <w:t xml:space="preserve"> of the HRS level.</w:t>
      </w:r>
    </w:p>
    <w:p w:rsidR="004B0385" w:rsidRPr="00E963F0" w:rsidRDefault="004B0385" w:rsidP="004B0385">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12</w:t>
      </w:r>
      <w:r w:rsidR="00AD744D">
        <w:rPr>
          <w:color w:val="1F4E79" w:themeColor="accent1" w:themeShade="80"/>
        </w:rPr>
        <w:fldChar w:fldCharType="end"/>
      </w:r>
      <w:r w:rsidR="00C03058">
        <w:rPr>
          <w:color w:val="1F4E79" w:themeColor="accent1" w:themeShade="80"/>
        </w:rPr>
        <w:t xml:space="preserve"> </w:t>
      </w:r>
      <w:r w:rsidRPr="00E963F0">
        <w:rPr>
          <w:color w:val="1F4E79" w:themeColor="accent1" w:themeShade="80"/>
        </w:rPr>
        <w:t>Life expectancy gap by sex, vs international average 1961-2020</w:t>
      </w:r>
    </w:p>
    <w:p w:rsidR="009251FF" w:rsidRPr="00E963F0" w:rsidRDefault="00847772" w:rsidP="00E2114C">
      <w:pPr>
        <w:jc w:val="center"/>
      </w:pPr>
      <w:r>
        <w:pict>
          <v:shape id="_x0000_i1035" type="#_x0000_t75" style="width:340pt;height:198.5pt">
            <v:imagedata r:id="rId19" o:title=""/>
          </v:shape>
        </w:pict>
      </w:r>
    </w:p>
    <w:p w:rsidR="009251FF" w:rsidRPr="00E963F0" w:rsidRDefault="009251FF" w:rsidP="00E2114C">
      <w:pPr>
        <w:jc w:val="center"/>
      </w:pPr>
    </w:p>
    <w:p w:rsidR="009251FF" w:rsidRPr="00E963F0" w:rsidRDefault="009251FF" w:rsidP="00E2114C">
      <w:pPr>
        <w:jc w:val="center"/>
      </w:pPr>
    </w:p>
    <w:p w:rsidR="009251FF" w:rsidRPr="00E963F0" w:rsidRDefault="009251FF"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13</w:t>
      </w:r>
      <w:r w:rsidR="00AD744D">
        <w:rPr>
          <w:color w:val="1F4E79" w:themeColor="accent1" w:themeShade="80"/>
        </w:rPr>
        <w:fldChar w:fldCharType="end"/>
      </w:r>
      <w:r w:rsidRPr="00E963F0">
        <w:rPr>
          <w:color w:val="1F4E79" w:themeColor="accent1" w:themeShade="80"/>
        </w:rPr>
        <w:t xml:space="preserve"> LE % lower in men than in women, vs international average 1961-2020</w:t>
      </w:r>
    </w:p>
    <w:p w:rsidR="009251FF" w:rsidRPr="00E963F0" w:rsidRDefault="00847772" w:rsidP="00E2114C">
      <w:pPr>
        <w:jc w:val="center"/>
      </w:pPr>
      <w:r>
        <w:pict>
          <v:shape id="_x0000_i1036" type="#_x0000_t75" style="width:338.75pt;height:198.5pt">
            <v:imagedata r:id="rId20" o:title=""/>
          </v:shape>
        </w:pict>
      </w:r>
    </w:p>
    <w:p w:rsidR="00550B0F" w:rsidRPr="001B1D52" w:rsidRDefault="00550B0F" w:rsidP="00550B0F">
      <w:pPr>
        <w:jc w:val="both"/>
        <w:rPr>
          <w:rFonts w:cs="Arial"/>
          <w:szCs w:val="18"/>
        </w:rPr>
        <w:sectPr w:rsidR="00550B0F" w:rsidRPr="001B1D52" w:rsidSect="009251FF">
          <w:pgSz w:w="11906" w:h="16838"/>
          <w:pgMar w:top="1440" w:right="1440" w:bottom="1440" w:left="1440" w:header="708" w:footer="708" w:gutter="0"/>
          <w:cols w:space="708"/>
          <w:docGrid w:linePitch="360"/>
        </w:sectPr>
      </w:pPr>
      <w:r w:rsidRPr="001B1D52">
        <w:rPr>
          <w:rFonts w:cs="Arial"/>
          <w:szCs w:val="18"/>
        </w:rPr>
        <w:t xml:space="preserve">What the graphs above show is the </w:t>
      </w:r>
      <w:r w:rsidR="001B1D52" w:rsidRPr="001B1D52">
        <w:rPr>
          <w:rFonts w:cs="Arial"/>
          <w:szCs w:val="18"/>
        </w:rPr>
        <w:t xml:space="preserve">trend in the </w:t>
      </w:r>
      <w:r w:rsidRPr="001B1D52">
        <w:rPr>
          <w:rFonts w:cs="Arial"/>
          <w:szCs w:val="18"/>
        </w:rPr>
        <w:t xml:space="preserve">difference between life expectancy between men and women in </w:t>
      </w:r>
      <w:r w:rsidR="0031124D" w:rsidRPr="0031124D">
        <w:rPr>
          <w:rFonts w:eastAsiaTheme="minorEastAsia" w:cs="Arial"/>
          <w:szCs w:val="18"/>
          <w:lang w:eastAsia="en-GB"/>
        </w:rPr>
        <w:t>Lebanon</w:t>
      </w:r>
      <w:r w:rsidRPr="001B1D52">
        <w:rPr>
          <w:rFonts w:cs="Arial"/>
          <w:szCs w:val="18"/>
        </w:rPr>
        <w:t xml:space="preserve">. It </w:t>
      </w:r>
      <w:r w:rsidR="001B1D52" w:rsidRPr="001B1D52">
        <w:rPr>
          <w:rFonts w:cs="Arial"/>
          <w:szCs w:val="18"/>
        </w:rPr>
        <w:t xml:space="preserve">stands </w:t>
      </w:r>
      <w:r w:rsidRPr="001B1D52">
        <w:rPr>
          <w:rFonts w:cs="Arial"/>
          <w:szCs w:val="18"/>
        </w:rPr>
        <w:t xml:space="preserve">today at </w:t>
      </w:r>
      <w:r w:rsidR="0031124D" w:rsidRPr="0031124D">
        <w:rPr>
          <w:rFonts w:eastAsiaTheme="minorEastAsia" w:cs="Arial"/>
          <w:szCs w:val="18"/>
          <w:lang w:eastAsia="en-GB"/>
        </w:rPr>
        <w:t>3.88</w:t>
      </w:r>
      <w:r w:rsidR="003C7F9A" w:rsidRPr="001B1D52">
        <w:rPr>
          <w:rFonts w:cs="Arial"/>
          <w:szCs w:val="18"/>
        </w:rPr>
        <w:t xml:space="preserve"> years lower in men, which is </w:t>
      </w:r>
      <w:r w:rsidR="0031124D" w:rsidRPr="0031124D">
        <w:rPr>
          <w:rFonts w:eastAsiaTheme="minorEastAsia" w:cs="Arial"/>
          <w:szCs w:val="18"/>
          <w:lang w:eastAsia="en-GB"/>
        </w:rPr>
        <w:t>lower</w:t>
      </w:r>
      <w:r w:rsidR="003C7F9A" w:rsidRPr="001B1D52">
        <w:rPr>
          <w:rFonts w:cs="Arial"/>
          <w:szCs w:val="18"/>
        </w:rPr>
        <w:t xml:space="preserve"> than the w</w:t>
      </w:r>
      <w:r w:rsidR="00C03058">
        <w:rPr>
          <w:rFonts w:cs="Arial"/>
          <w:szCs w:val="18"/>
        </w:rPr>
        <w:t xml:space="preserve">orld % difference </w:t>
      </w:r>
      <w:r w:rsidR="003C7F9A" w:rsidRPr="001B1D52">
        <w:rPr>
          <w:rFonts w:cs="Arial"/>
          <w:szCs w:val="18"/>
        </w:rPr>
        <w:t>(at present some 6%).</w:t>
      </w:r>
    </w:p>
    <w:p w:rsidR="004B0385" w:rsidRPr="00E963F0" w:rsidRDefault="004B0385" w:rsidP="00E2114C">
      <w:pPr>
        <w:jc w:val="center"/>
      </w:pPr>
    </w:p>
    <w:p w:rsidR="004B0385" w:rsidRDefault="00D71805" w:rsidP="00D71805">
      <w:pPr>
        <w:pStyle w:val="Heading2"/>
      </w:pPr>
      <w:r>
        <w:t xml:space="preserve">Burden of health </w:t>
      </w:r>
      <w:r w:rsidR="00EA013D">
        <w:t>inequity</w:t>
      </w:r>
    </w:p>
    <w:p w:rsidR="00D71805" w:rsidRDefault="00D71805" w:rsidP="00D71805"/>
    <w:p w:rsidR="00D71805" w:rsidRDefault="00D71805" w:rsidP="00EA013D">
      <w:pPr>
        <w:pStyle w:val="Heading3"/>
      </w:pPr>
      <w:r>
        <w:t>Burden vs. HRS reference:</w:t>
      </w:r>
    </w:p>
    <w:p w:rsidR="00D71805" w:rsidRPr="00D71805" w:rsidRDefault="00D71805" w:rsidP="00D71805">
      <w:r>
        <w:t xml:space="preserve">As mentioned in the methodology, we selected the country (Sri Lanka) which has maintained the ecological sustainability, economic replicability and the health above average as the reference to compare mortality rates by sex, age group and time period and estimated, through adjust mortality rates the excess mortality from those feasible standards. </w:t>
      </w:r>
    </w:p>
    <w:p w:rsidR="00D71805" w:rsidRPr="00E963F0" w:rsidRDefault="00D71805" w:rsidP="00E2114C">
      <w:pPr>
        <w:jc w:val="center"/>
      </w:pPr>
    </w:p>
    <w:p w:rsidR="008E76BB" w:rsidRPr="00E963F0" w:rsidRDefault="008E76BB" w:rsidP="008E76BB">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15</w:t>
      </w:r>
      <w:r w:rsidR="00AD744D">
        <w:rPr>
          <w:color w:val="1F4E79" w:themeColor="accent1" w:themeShade="80"/>
        </w:rPr>
        <w:fldChar w:fldCharType="end"/>
      </w:r>
      <w:r w:rsidR="00D71805">
        <w:rPr>
          <w:color w:val="1F4E79" w:themeColor="accent1" w:themeShade="80"/>
        </w:rPr>
        <w:t xml:space="preserve"> </w:t>
      </w:r>
      <w:r w:rsidRPr="00E963F0">
        <w:rPr>
          <w:color w:val="1F4E79" w:themeColor="accent1" w:themeShade="80"/>
        </w:rPr>
        <w:t>nBHiE ref HRS by sex and time period 1961-2020</w:t>
      </w:r>
    </w:p>
    <w:p w:rsidR="008E76BB" w:rsidRPr="00E963F0" w:rsidRDefault="00847772" w:rsidP="00E2114C">
      <w:pPr>
        <w:jc w:val="center"/>
      </w:pPr>
      <w:r>
        <w:pict>
          <v:shape id="_x0000_i1037" type="#_x0000_t75" style="width:680.05pt;height:272.2pt">
            <v:imagedata r:id="rId21" o:title=""/>
          </v:shape>
        </w:pict>
      </w:r>
    </w:p>
    <w:p w:rsidR="001B1D52" w:rsidRPr="00AD744D" w:rsidRDefault="00D71805" w:rsidP="001B1D52">
      <w:pPr>
        <w:rPr>
          <w:rFonts w:eastAsia="Times New Roman" w:cs="Arial"/>
          <w:i/>
          <w:iCs/>
          <w:szCs w:val="18"/>
          <w:lang w:eastAsia="en-GB"/>
        </w:rPr>
      </w:pPr>
      <w:r w:rsidRPr="00AD744D">
        <w:rPr>
          <w:rFonts w:cs="Arial"/>
          <w:szCs w:val="18"/>
        </w:rPr>
        <w:t>The</w:t>
      </w:r>
      <w:r w:rsidR="009E51E2">
        <w:rPr>
          <w:rFonts w:cs="Arial"/>
          <w:szCs w:val="18"/>
        </w:rPr>
        <w:t xml:space="preserve"> above graph represents the</w:t>
      </w:r>
      <w:r w:rsidRPr="00AD744D">
        <w:rPr>
          <w:rFonts w:cs="Arial"/>
          <w:szCs w:val="18"/>
        </w:rPr>
        <w:t xml:space="preserve"> excess mortality in </w:t>
      </w:r>
      <w:bookmarkStart w:id="5" w:name="OLE_LINK4"/>
      <w:r w:rsidR="0031124D" w:rsidRPr="0031124D">
        <w:rPr>
          <w:rFonts w:eastAsiaTheme="minorEastAsia" w:cs="Arial"/>
          <w:szCs w:val="18"/>
          <w:lang w:eastAsia="en-GB"/>
        </w:rPr>
        <w:t>Lebanon</w:t>
      </w:r>
      <w:bookmarkEnd w:id="5"/>
      <w:r w:rsidR="006A049C" w:rsidRPr="00AD744D">
        <w:rPr>
          <w:rFonts w:cs="Arial"/>
          <w:szCs w:val="18"/>
        </w:rPr>
        <w:t xml:space="preserve">, </w:t>
      </w:r>
      <w:r w:rsidR="00740091">
        <w:rPr>
          <w:rFonts w:cs="Arial"/>
          <w:szCs w:val="18"/>
        </w:rPr>
        <w:t xml:space="preserve">(with </w:t>
      </w:r>
      <w:r w:rsidR="0031124D" w:rsidRPr="0031124D">
        <w:rPr>
          <w:rFonts w:eastAsiaTheme="minorEastAsia" w:cs="Arial"/>
          <w:szCs w:val="18"/>
          <w:lang w:eastAsia="en-GB"/>
        </w:rPr>
        <w:t>196%</w:t>
      </w:r>
      <w:r w:rsidR="00740091" w:rsidRPr="00691D14">
        <w:rPr>
          <w:rFonts w:cs="Arial"/>
          <w:szCs w:val="18"/>
        </w:rPr>
        <w:t xml:space="preserve"> </w:t>
      </w:r>
      <w:r w:rsidR="00740091">
        <w:rPr>
          <w:rFonts w:cs="Arial"/>
          <w:szCs w:val="18"/>
        </w:rPr>
        <w:t xml:space="preserve">GDP CV pc of the </w:t>
      </w:r>
      <w:r w:rsidRPr="00AD744D">
        <w:rPr>
          <w:rFonts w:cs="Arial"/>
          <w:szCs w:val="18"/>
        </w:rPr>
        <w:t>HRS reference</w:t>
      </w:r>
      <w:r w:rsidR="00740091">
        <w:rPr>
          <w:rFonts w:cs="Arial"/>
          <w:szCs w:val="18"/>
        </w:rPr>
        <w:t xml:space="preserve">), </w:t>
      </w:r>
      <w:r w:rsidRPr="00AD744D">
        <w:rPr>
          <w:rFonts w:cs="Arial"/>
          <w:szCs w:val="18"/>
        </w:rPr>
        <w:t>that is, the net bu</w:t>
      </w:r>
      <w:r w:rsidR="009E51E2">
        <w:rPr>
          <w:rFonts w:cs="Arial"/>
          <w:szCs w:val="18"/>
        </w:rPr>
        <w:t>rden of health inequity (nBHiE)</w:t>
      </w:r>
      <w:r w:rsidR="00BC0230" w:rsidRPr="00AD744D">
        <w:rPr>
          <w:rFonts w:cs="Arial"/>
          <w:szCs w:val="18"/>
        </w:rPr>
        <w:t xml:space="preserve">. </w:t>
      </w:r>
      <w:r w:rsidR="006B541A">
        <w:rPr>
          <w:rFonts w:cs="Arial"/>
          <w:szCs w:val="18"/>
        </w:rPr>
        <w:t xml:space="preserve">It increased in the last two decades, notably in women. </w:t>
      </w:r>
      <w:r w:rsidR="00BC0230" w:rsidRPr="00AD744D">
        <w:rPr>
          <w:rFonts w:cs="Arial"/>
          <w:szCs w:val="18"/>
        </w:rPr>
        <w:t xml:space="preserve">Today it stands at </w:t>
      </w:r>
      <w:r w:rsidR="0031124D" w:rsidRPr="0031124D">
        <w:rPr>
          <w:rFonts w:eastAsiaTheme="minorEastAsia" w:cs="Arial"/>
          <w:szCs w:val="18"/>
          <w:lang w:eastAsia="en-GB"/>
        </w:rPr>
        <w:t>249</w:t>
      </w:r>
      <w:r w:rsidR="00BC0230" w:rsidRPr="00AD744D">
        <w:rPr>
          <w:rFonts w:cs="Arial"/>
          <w:szCs w:val="18"/>
        </w:rPr>
        <w:t xml:space="preserve"> in women and </w:t>
      </w:r>
      <w:r w:rsidR="0031124D" w:rsidRPr="0031124D">
        <w:rPr>
          <w:rFonts w:eastAsiaTheme="minorEastAsia" w:cs="Arial"/>
          <w:szCs w:val="18"/>
          <w:lang w:eastAsia="en-GB"/>
        </w:rPr>
        <w:t>317</w:t>
      </w:r>
      <w:r w:rsidR="001B1D52" w:rsidRPr="00AD744D">
        <w:rPr>
          <w:rFonts w:cs="Arial"/>
          <w:szCs w:val="18"/>
        </w:rPr>
        <w:t xml:space="preserve"> in men, a total of </w:t>
      </w:r>
      <w:r w:rsidR="0031124D" w:rsidRPr="0031124D">
        <w:rPr>
          <w:rFonts w:eastAsiaTheme="minorEastAsia" w:cs="Arial"/>
          <w:szCs w:val="18"/>
          <w:lang w:eastAsia="en-GB"/>
        </w:rPr>
        <w:t>566</w:t>
      </w:r>
      <w:r w:rsidR="001B1D52" w:rsidRPr="00AD744D">
        <w:rPr>
          <w:rFonts w:cs="Arial"/>
          <w:szCs w:val="18"/>
        </w:rPr>
        <w:t xml:space="preserve">, which is </w:t>
      </w:r>
      <w:r w:rsidR="0031124D" w:rsidRPr="0031124D">
        <w:rPr>
          <w:rFonts w:eastAsiaTheme="minorEastAsia" w:cs="Arial"/>
          <w:i/>
          <w:iCs/>
          <w:szCs w:val="18"/>
          <w:lang w:eastAsia="en-GB"/>
        </w:rPr>
        <w:t>0.0035%</w:t>
      </w:r>
      <w:r w:rsidR="001B1D52" w:rsidRPr="00AD744D">
        <w:rPr>
          <w:rFonts w:cs="Arial"/>
          <w:szCs w:val="18"/>
        </w:rPr>
        <w:t xml:space="preserve"> of the world’s total (compared with</w:t>
      </w:r>
      <w:r w:rsidR="00AD744D" w:rsidRPr="00AD744D">
        <w:rPr>
          <w:rFonts w:cs="Arial"/>
          <w:szCs w:val="18"/>
        </w:rPr>
        <w:t xml:space="preserve"> </w:t>
      </w:r>
      <w:r w:rsidR="0031124D" w:rsidRPr="0031124D">
        <w:rPr>
          <w:rFonts w:cs="Arial"/>
          <w:szCs w:val="18"/>
          <w:lang w:eastAsia="en-GB"/>
        </w:rPr>
        <w:t>Lebanon</w:t>
      </w:r>
      <w:r w:rsidR="000169D1">
        <w:rPr>
          <w:rFonts w:cs="Arial"/>
          <w:szCs w:val="18"/>
        </w:rPr>
        <w:t xml:space="preserve"> ‘</w:t>
      </w:r>
      <w:r w:rsidR="00AD744D" w:rsidRPr="00AD744D">
        <w:rPr>
          <w:rFonts w:cs="Arial"/>
          <w:szCs w:val="18"/>
        </w:rPr>
        <w:t xml:space="preserve">s </w:t>
      </w:r>
      <w:r w:rsidR="0031124D" w:rsidRPr="0031124D">
        <w:rPr>
          <w:rFonts w:eastAsiaTheme="minorEastAsia" w:cs="Arial"/>
          <w:i/>
          <w:iCs/>
          <w:szCs w:val="18"/>
          <w:lang w:eastAsia="en-GB"/>
        </w:rPr>
        <w:t>0.0904%</w:t>
      </w:r>
      <w:r w:rsidR="00AD744D" w:rsidRPr="00AD744D">
        <w:rPr>
          <w:rFonts w:cs="Arial"/>
          <w:szCs w:val="18"/>
        </w:rPr>
        <w:t xml:space="preserve"> of the world’s </w:t>
      </w:r>
      <w:r w:rsidR="001B1D52" w:rsidRPr="00AD744D">
        <w:rPr>
          <w:rFonts w:cs="Arial"/>
          <w:szCs w:val="18"/>
        </w:rPr>
        <w:t>population)</w:t>
      </w:r>
      <w:r w:rsidR="00AD744D" w:rsidRPr="00AD744D">
        <w:rPr>
          <w:rFonts w:cs="Arial"/>
          <w:szCs w:val="18"/>
        </w:rPr>
        <w:t>.</w:t>
      </w:r>
    </w:p>
    <w:p w:rsidR="004B0385" w:rsidRPr="00CD72DD" w:rsidRDefault="004B0385" w:rsidP="00D71805">
      <w:pPr>
        <w:rPr>
          <w:rFonts w:cs="Arial"/>
          <w:szCs w:val="18"/>
        </w:rPr>
      </w:pPr>
    </w:p>
    <w:p w:rsidR="008E76BB" w:rsidRPr="00E963F0" w:rsidRDefault="008E76BB" w:rsidP="008E76BB">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16</w:t>
      </w:r>
      <w:r w:rsidR="00AD744D">
        <w:rPr>
          <w:color w:val="1F4E79" w:themeColor="accent1" w:themeShade="80"/>
        </w:rPr>
        <w:fldChar w:fldCharType="end"/>
      </w:r>
      <w:r w:rsidRPr="00E963F0">
        <w:rPr>
          <w:color w:val="1F4E79" w:themeColor="accent1" w:themeShade="80"/>
        </w:rPr>
        <w:t xml:space="preserve"> nBHiE by sex and age group 2016-2020</w:t>
      </w:r>
    </w:p>
    <w:p w:rsidR="008E76BB" w:rsidRDefault="00847772" w:rsidP="00E2114C">
      <w:pPr>
        <w:jc w:val="center"/>
      </w:pPr>
      <w:r>
        <w:pict>
          <v:shape id="_x0000_i1038" type="#_x0000_t75" style="width:713.75pt;height:285.5pt">
            <v:imagedata r:id="rId22" o:title=""/>
          </v:shape>
        </w:pict>
      </w:r>
    </w:p>
    <w:p w:rsidR="003B32B1" w:rsidRDefault="00F42602" w:rsidP="004D3003">
      <w:r w:rsidRPr="00F42602">
        <w:rPr>
          <w:rFonts w:asciiTheme="minorHAnsi" w:hAnsiTheme="minorHAnsi"/>
          <w:color w:val="auto"/>
          <w:sz w:val="22"/>
        </w:rPr>
        <w:t xml:space="preserve">The above figure represents the age distribution of the excess mortality in reference to the HRS feasible-for-all levels. It </w:t>
      </w:r>
      <w:r w:rsidR="00292039">
        <w:rPr>
          <w:rFonts w:asciiTheme="minorHAnsi" w:hAnsiTheme="minorHAnsi"/>
          <w:color w:val="auto"/>
          <w:sz w:val="22"/>
        </w:rPr>
        <w:t xml:space="preserve">affects children under 5, more </w:t>
      </w:r>
      <w:r w:rsidR="004D3003">
        <w:rPr>
          <w:rFonts w:asciiTheme="minorHAnsi" w:hAnsiTheme="minorHAnsi"/>
          <w:color w:val="auto"/>
          <w:sz w:val="22"/>
        </w:rPr>
        <w:t>girls than boys</w:t>
      </w:r>
      <w:r w:rsidR="00292039">
        <w:rPr>
          <w:rFonts w:asciiTheme="minorHAnsi" w:hAnsiTheme="minorHAnsi"/>
          <w:color w:val="auto"/>
          <w:sz w:val="22"/>
        </w:rPr>
        <w:t xml:space="preserve">, and </w:t>
      </w:r>
      <w:r w:rsidR="004D3003">
        <w:rPr>
          <w:rFonts w:asciiTheme="minorHAnsi" w:hAnsiTheme="minorHAnsi"/>
          <w:color w:val="auto"/>
          <w:sz w:val="22"/>
        </w:rPr>
        <w:t>in older than 75 years.</w:t>
      </w:r>
    </w:p>
    <w:p w:rsidR="003B32B1" w:rsidRDefault="003B32B1"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17</w:t>
      </w:r>
      <w:r w:rsidR="00AD744D">
        <w:rPr>
          <w:color w:val="1F4E79" w:themeColor="accent1" w:themeShade="80"/>
        </w:rPr>
        <w:fldChar w:fldCharType="end"/>
      </w:r>
      <w:r w:rsidRPr="00E963F0">
        <w:rPr>
          <w:color w:val="1F4E79" w:themeColor="accent1" w:themeShade="80"/>
        </w:rPr>
        <w:t xml:space="preserve"> rBHiE by sex and time period vs international average, 1961-2020</w:t>
      </w:r>
    </w:p>
    <w:p w:rsidR="008E76BB" w:rsidRPr="00E963F0" w:rsidRDefault="00847772" w:rsidP="00E2114C">
      <w:pPr>
        <w:jc w:val="center"/>
      </w:pPr>
      <w:r>
        <w:pict>
          <v:shape id="_x0000_i1039" type="#_x0000_t75" style="width:688.8pt;height:270.95pt">
            <v:imagedata r:id="rId23" o:title=""/>
          </v:shape>
        </w:pict>
      </w:r>
    </w:p>
    <w:p w:rsidR="005C4322" w:rsidRPr="00B871B1" w:rsidRDefault="006A049C" w:rsidP="0071566C">
      <w:pPr>
        <w:spacing w:after="0"/>
        <w:rPr>
          <w:rFonts w:cs="Arial"/>
          <w:szCs w:val="18"/>
        </w:rPr>
      </w:pPr>
      <w:r w:rsidRPr="00B871B1">
        <w:rPr>
          <w:rFonts w:cs="Arial"/>
          <w:szCs w:val="18"/>
        </w:rPr>
        <w:t xml:space="preserve">The share of all deaths that was in excess </w:t>
      </w:r>
      <w:r w:rsidR="00607565" w:rsidRPr="00B871B1">
        <w:rPr>
          <w:rFonts w:cs="Arial"/>
          <w:szCs w:val="18"/>
        </w:rPr>
        <w:t xml:space="preserve">in </w:t>
      </w:r>
      <w:r w:rsidR="0031124D" w:rsidRPr="0031124D">
        <w:rPr>
          <w:rFonts w:eastAsiaTheme="minorEastAsia" w:cs="Arial"/>
          <w:szCs w:val="18"/>
          <w:lang w:eastAsia="en-GB"/>
        </w:rPr>
        <w:t>Lebanon</w:t>
      </w:r>
      <w:r w:rsidR="00607565" w:rsidRPr="00B871B1">
        <w:rPr>
          <w:rFonts w:cs="Arial"/>
          <w:szCs w:val="18"/>
        </w:rPr>
        <w:t xml:space="preserve"> when compared with </w:t>
      </w:r>
      <w:r w:rsidRPr="00B871B1">
        <w:rPr>
          <w:rFonts w:cs="Arial"/>
          <w:szCs w:val="18"/>
        </w:rPr>
        <w:t>the feasible mortality rates in the HRS reference, allows comparison in time and with other countries and the international reference as it is not influenced by the size and/or sha</w:t>
      </w:r>
      <w:r w:rsidR="0071566C" w:rsidRPr="00B871B1">
        <w:rPr>
          <w:rFonts w:cs="Arial"/>
          <w:szCs w:val="18"/>
        </w:rPr>
        <w:t>pe of the demographic pyramid.</w:t>
      </w:r>
      <w:r w:rsidR="006B541A">
        <w:rPr>
          <w:rFonts w:cs="Arial"/>
          <w:szCs w:val="18"/>
        </w:rPr>
        <w:t>I</w:t>
      </w:r>
      <w:r w:rsidR="00EE217B">
        <w:rPr>
          <w:rFonts w:cs="Arial"/>
          <w:szCs w:val="18"/>
        </w:rPr>
        <w:t>t decreased gradually and it</w:t>
      </w:r>
      <w:r w:rsidR="0071566C" w:rsidRPr="00B871B1">
        <w:rPr>
          <w:rFonts w:cs="Arial"/>
          <w:szCs w:val="18"/>
        </w:rPr>
        <w:t xml:space="preserve"> is</w:t>
      </w:r>
      <w:r w:rsidRPr="00B871B1">
        <w:rPr>
          <w:rFonts w:cs="Arial"/>
          <w:szCs w:val="18"/>
        </w:rPr>
        <w:t xml:space="preserve"> today of </w:t>
      </w:r>
      <w:r w:rsidR="0031124D" w:rsidRPr="0031124D">
        <w:rPr>
          <w:rFonts w:eastAsiaTheme="minorEastAsia" w:cs="Arial"/>
          <w:szCs w:val="18"/>
          <w:lang w:eastAsia="en-GB"/>
        </w:rPr>
        <w:t>1.94%</w:t>
      </w:r>
      <w:r w:rsidR="00B871B1" w:rsidRPr="00B871B1">
        <w:rPr>
          <w:rFonts w:cs="Arial"/>
          <w:szCs w:val="18"/>
        </w:rPr>
        <w:t xml:space="preserve"> in women and </w:t>
      </w:r>
      <w:r w:rsidR="0031124D" w:rsidRPr="0031124D">
        <w:rPr>
          <w:rFonts w:eastAsiaTheme="minorEastAsia" w:cs="Arial"/>
          <w:szCs w:val="18"/>
          <w:lang w:eastAsia="en-GB"/>
        </w:rPr>
        <w:t>1.99%</w:t>
      </w:r>
      <w:r w:rsidR="00B871B1" w:rsidRPr="00B871B1">
        <w:rPr>
          <w:rFonts w:cs="Arial"/>
          <w:szCs w:val="18"/>
        </w:rPr>
        <w:t xml:space="preserve"> in men, an average of </w:t>
      </w:r>
      <w:r w:rsidR="0031124D" w:rsidRPr="0031124D">
        <w:rPr>
          <w:rFonts w:eastAsiaTheme="minorEastAsia" w:cs="Arial"/>
          <w:szCs w:val="18"/>
          <w:lang w:eastAsia="en-GB"/>
        </w:rPr>
        <w:t>1.96%</w:t>
      </w:r>
      <w:r w:rsidR="00B871B1" w:rsidRPr="00B871B1">
        <w:rPr>
          <w:rFonts w:cs="Arial"/>
          <w:szCs w:val="18"/>
        </w:rPr>
        <w:t xml:space="preserve">, </w:t>
      </w:r>
      <w:r w:rsidR="0031124D" w:rsidRPr="0031124D">
        <w:rPr>
          <w:rFonts w:eastAsiaTheme="minorEastAsia" w:cs="Arial"/>
          <w:szCs w:val="18"/>
          <w:lang w:eastAsia="en-GB"/>
        </w:rPr>
        <w:t>7%</w:t>
      </w:r>
      <w:r w:rsidR="00B871B1" w:rsidRPr="00B871B1">
        <w:rPr>
          <w:rFonts w:cs="Arial"/>
          <w:szCs w:val="18"/>
        </w:rPr>
        <w:t xml:space="preserve"> of the world’s average.</w:t>
      </w:r>
    </w:p>
    <w:p w:rsidR="005C4322" w:rsidRDefault="005C4322" w:rsidP="00E2114C">
      <w:pPr>
        <w:jc w:val="center"/>
      </w:pPr>
    </w:p>
    <w:p w:rsidR="00362EE5" w:rsidRDefault="00362EE5" w:rsidP="00E2114C">
      <w:pPr>
        <w:jc w:val="center"/>
      </w:pPr>
    </w:p>
    <w:p w:rsidR="00362EE5" w:rsidRPr="00E963F0" w:rsidRDefault="00362EE5" w:rsidP="00E2114C">
      <w:pPr>
        <w:jc w:val="center"/>
      </w:pPr>
    </w:p>
    <w:p w:rsidR="00CD31B8" w:rsidRPr="00E963F0" w:rsidRDefault="00CD31B8" w:rsidP="00E2114C">
      <w:pPr>
        <w:jc w:val="cente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18</w:t>
      </w:r>
      <w:r w:rsidR="00AD744D">
        <w:rPr>
          <w:color w:val="1F4E79" w:themeColor="accent1" w:themeShade="80"/>
        </w:rPr>
        <w:fldChar w:fldCharType="end"/>
      </w:r>
      <w:r w:rsidR="00362EE5">
        <w:rPr>
          <w:color w:val="1F4E79" w:themeColor="accent1" w:themeShade="80"/>
        </w:rPr>
        <w:t xml:space="preserve"> </w:t>
      </w:r>
      <w:r w:rsidRPr="00E963F0">
        <w:rPr>
          <w:color w:val="1F4E79" w:themeColor="accent1" w:themeShade="80"/>
        </w:rPr>
        <w:t>rBHiE by sex and age vs</w:t>
      </w:r>
      <w:r w:rsidR="00362EE5">
        <w:rPr>
          <w:color w:val="1F4E79" w:themeColor="accent1" w:themeShade="80"/>
        </w:rPr>
        <w:t xml:space="preserve"> international average, 20</w:t>
      </w:r>
      <w:r w:rsidRPr="00E963F0">
        <w:rPr>
          <w:color w:val="1F4E79" w:themeColor="accent1" w:themeShade="80"/>
        </w:rPr>
        <w:t>16-2020</w:t>
      </w:r>
    </w:p>
    <w:p w:rsidR="00CD31B8" w:rsidRDefault="00847772" w:rsidP="00E2114C">
      <w:pPr>
        <w:jc w:val="center"/>
      </w:pPr>
      <w:r>
        <w:pict>
          <v:shape id="_x0000_i1040" type="#_x0000_t75" style="width:680.45pt;height:267.2pt">
            <v:imagedata r:id="rId24" o:title=""/>
          </v:shape>
        </w:pict>
      </w:r>
    </w:p>
    <w:p w:rsidR="00362EE5" w:rsidRPr="00E963F0" w:rsidRDefault="00362EE5" w:rsidP="00E2114C">
      <w:pPr>
        <w:jc w:val="center"/>
      </w:pPr>
    </w:p>
    <w:p w:rsidR="00362EE5" w:rsidRPr="004070D3" w:rsidRDefault="00F42602" w:rsidP="000D6D3C">
      <w:pPr>
        <w:rPr>
          <w:rFonts w:cs="Arial"/>
          <w:szCs w:val="18"/>
        </w:rPr>
      </w:pPr>
      <w:r w:rsidRPr="00F42602">
        <w:rPr>
          <w:rFonts w:asciiTheme="minorHAnsi" w:hAnsiTheme="minorHAnsi"/>
          <w:color w:val="auto"/>
          <w:sz w:val="22"/>
        </w:rPr>
        <w:t>The above figure represents the age distribution of the share of excess mortality in reference to the HRS feas</w:t>
      </w:r>
      <w:r w:rsidR="009C7BD3">
        <w:rPr>
          <w:rFonts w:asciiTheme="minorHAnsi" w:hAnsiTheme="minorHAnsi"/>
          <w:color w:val="auto"/>
          <w:sz w:val="22"/>
        </w:rPr>
        <w:t xml:space="preserve">ible-for-all levels and reveals it affects </w:t>
      </w:r>
      <w:r w:rsidR="004D3003">
        <w:rPr>
          <w:rFonts w:asciiTheme="minorHAnsi" w:hAnsiTheme="minorHAnsi"/>
          <w:color w:val="auto"/>
          <w:sz w:val="22"/>
        </w:rPr>
        <w:t>children under 5 (3</w:t>
      </w:r>
      <w:r w:rsidR="00292039">
        <w:rPr>
          <w:rFonts w:asciiTheme="minorHAnsi" w:hAnsiTheme="minorHAnsi"/>
          <w:color w:val="auto"/>
          <w:sz w:val="22"/>
        </w:rPr>
        <w:t>0</w:t>
      </w:r>
      <w:r w:rsidR="004D3003">
        <w:rPr>
          <w:rFonts w:asciiTheme="minorHAnsi" w:hAnsiTheme="minorHAnsi"/>
          <w:color w:val="auto"/>
          <w:sz w:val="22"/>
        </w:rPr>
        <w:t>% of deaths in girls</w:t>
      </w:r>
      <w:r w:rsidR="00292039">
        <w:rPr>
          <w:rFonts w:asciiTheme="minorHAnsi" w:hAnsiTheme="minorHAnsi"/>
          <w:color w:val="auto"/>
          <w:sz w:val="22"/>
        </w:rPr>
        <w:t xml:space="preserve">), </w:t>
      </w:r>
      <w:r w:rsidR="004D3003">
        <w:rPr>
          <w:rFonts w:asciiTheme="minorHAnsi" w:hAnsiTheme="minorHAnsi"/>
          <w:color w:val="auto"/>
          <w:sz w:val="22"/>
        </w:rPr>
        <w:t>and men older than 85 years (around 10%).</w:t>
      </w:r>
    </w:p>
    <w:p w:rsidR="00CD31B8" w:rsidRPr="00E963F0" w:rsidRDefault="00CD31B8" w:rsidP="00E2114C">
      <w:pPr>
        <w:jc w:val="center"/>
      </w:pPr>
    </w:p>
    <w:p w:rsidR="00CD31B8" w:rsidRPr="00E963F0" w:rsidRDefault="00CD31B8" w:rsidP="00E2114C">
      <w:pPr>
        <w:jc w:val="center"/>
      </w:pPr>
    </w:p>
    <w:p w:rsidR="00CD31B8" w:rsidRPr="00E963F0" w:rsidRDefault="00CD31B8" w:rsidP="00E2114C">
      <w:pPr>
        <w:jc w:val="center"/>
      </w:pPr>
    </w:p>
    <w:p w:rsidR="00CD31B8" w:rsidRPr="00E963F0" w:rsidRDefault="00CD31B8" w:rsidP="00E2114C">
      <w:pPr>
        <w:jc w:val="center"/>
      </w:pPr>
    </w:p>
    <w:p w:rsidR="00CD31B8" w:rsidRPr="00E963F0" w:rsidRDefault="00CD31B8" w:rsidP="00E2114C">
      <w:pPr>
        <w:jc w:val="center"/>
      </w:pPr>
    </w:p>
    <w:p w:rsidR="00CD72DD" w:rsidRDefault="00CD72DD" w:rsidP="00CD72DD">
      <w:pPr>
        <w:pStyle w:val="Heading3"/>
      </w:pPr>
      <w:r>
        <w:t>Burden vs. best SEW reference:</w:t>
      </w:r>
    </w:p>
    <w:p w:rsidR="00CD31B8" w:rsidRPr="00E963F0" w:rsidRDefault="00CD72DD" w:rsidP="00CD72DD">
      <w:r>
        <w:t>While the minimum aspiration of feasible health for all is the HRS reference, which uses 40% of the world’s average resources per person, the comparison with the</w:t>
      </w:r>
      <w:r w:rsidR="00607565">
        <w:t xml:space="preserve"> best level of sustainable and equitable wellbeing (see below), Costa Rica, challenges to higher levels of wellbeing within the equity curve and void of negative impact from excess income or CO2 emissions.</w:t>
      </w: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19</w:t>
      </w:r>
      <w:r w:rsidR="00AD744D">
        <w:rPr>
          <w:color w:val="1F4E79" w:themeColor="accent1" w:themeShade="80"/>
        </w:rPr>
        <w:fldChar w:fldCharType="end"/>
      </w:r>
      <w:r w:rsidRPr="00E963F0">
        <w:rPr>
          <w:color w:val="1F4E79" w:themeColor="accent1" w:themeShade="80"/>
        </w:rPr>
        <w:t xml:space="preserve"> nBHiE ref best SEW, by sex and time period 1961-2020</w:t>
      </w:r>
    </w:p>
    <w:p w:rsidR="00CD31B8" w:rsidRDefault="00847772" w:rsidP="00E2114C">
      <w:pPr>
        <w:jc w:val="center"/>
      </w:pPr>
      <w:r>
        <w:pict>
          <v:shape id="_x0000_i1041" type="#_x0000_t75" style="width:549.8pt;height:218.5pt">
            <v:imagedata r:id="rId25" o:title=""/>
          </v:shape>
        </w:pict>
      </w:r>
    </w:p>
    <w:p w:rsidR="000D6D3C" w:rsidRPr="00F15F93" w:rsidRDefault="00607565" w:rsidP="000D6D3C">
      <w:pPr>
        <w:rPr>
          <w:rFonts w:cs="Arial"/>
          <w:szCs w:val="18"/>
        </w:rPr>
      </w:pPr>
      <w:r w:rsidRPr="00F15F93">
        <w:rPr>
          <w:rFonts w:cs="Arial"/>
          <w:szCs w:val="18"/>
        </w:rPr>
        <w:t>The above figure reveals how the comparison of mor</w:t>
      </w:r>
      <w:r w:rsidR="004070D3" w:rsidRPr="00F15F93">
        <w:rPr>
          <w:rFonts w:cs="Arial"/>
          <w:szCs w:val="18"/>
        </w:rPr>
        <w:t xml:space="preserve">tality rates </w:t>
      </w:r>
      <w:r w:rsidRPr="00F15F93">
        <w:rPr>
          <w:rFonts w:cs="Arial"/>
          <w:szCs w:val="18"/>
        </w:rPr>
        <w:t>by sex, age group and time period</w:t>
      </w:r>
      <w:r w:rsidR="004070D3" w:rsidRPr="00F15F93">
        <w:rPr>
          <w:rFonts w:cs="Arial"/>
          <w:szCs w:val="18"/>
        </w:rPr>
        <w:t xml:space="preserve"> between </w:t>
      </w:r>
      <w:bookmarkStart w:id="6" w:name="OLE_LINK5"/>
      <w:r w:rsidR="0031124D" w:rsidRPr="0031124D">
        <w:rPr>
          <w:rFonts w:eastAsiaTheme="minorEastAsia" w:cs="Arial"/>
          <w:szCs w:val="18"/>
          <w:lang w:eastAsia="en-GB"/>
        </w:rPr>
        <w:t>Lebanon</w:t>
      </w:r>
      <w:bookmarkEnd w:id="6"/>
      <w:r w:rsidR="004070D3" w:rsidRPr="00F15F93">
        <w:rPr>
          <w:rFonts w:cs="Arial"/>
          <w:szCs w:val="18"/>
        </w:rPr>
        <w:t xml:space="preserve"> and the best SEW reference</w:t>
      </w:r>
      <w:r w:rsidR="005876FD">
        <w:rPr>
          <w:rFonts w:cs="Arial"/>
          <w:szCs w:val="18"/>
        </w:rPr>
        <w:t xml:space="preserve"> (</w:t>
      </w:r>
      <w:r w:rsidR="005876FD" w:rsidRPr="005876FD">
        <w:rPr>
          <w:rFonts w:cs="Arial"/>
          <w:szCs w:val="18"/>
        </w:rPr>
        <w:t xml:space="preserve">with </w:t>
      </w:r>
      <w:r w:rsidR="0031124D" w:rsidRPr="0031124D">
        <w:rPr>
          <w:rFonts w:eastAsiaTheme="minorEastAsia" w:cs="Arial"/>
          <w:szCs w:val="18"/>
          <w:lang w:eastAsia="en-GB"/>
        </w:rPr>
        <w:t>64.31%</w:t>
      </w:r>
      <w:r w:rsidR="005876FD" w:rsidRPr="005876FD">
        <w:rPr>
          <w:rFonts w:cs="Arial"/>
          <w:szCs w:val="18"/>
        </w:rPr>
        <w:t xml:space="preserve"> of its </w:t>
      </w:r>
      <w:r w:rsidR="005876FD">
        <w:rPr>
          <w:rFonts w:cs="Arial"/>
          <w:szCs w:val="18"/>
        </w:rPr>
        <w:t>GDP CV pc)</w:t>
      </w:r>
      <w:r w:rsidR="004070D3" w:rsidRPr="00F15F93">
        <w:rPr>
          <w:rFonts w:cs="Arial"/>
          <w:szCs w:val="18"/>
        </w:rPr>
        <w:t xml:space="preserve">. </w:t>
      </w:r>
      <w:r w:rsidR="00B871B1" w:rsidRPr="00F15F93">
        <w:rPr>
          <w:rFonts w:cs="Arial"/>
          <w:szCs w:val="18"/>
        </w:rPr>
        <w:t xml:space="preserve">The trend reflects socioeconomic and ecologic conditions over the last 60 years in </w:t>
      </w:r>
      <w:r w:rsidR="0031124D" w:rsidRPr="0031124D">
        <w:rPr>
          <w:rFonts w:eastAsiaTheme="minorEastAsia" w:cs="Arial"/>
          <w:szCs w:val="18"/>
          <w:lang w:eastAsia="en-GB"/>
        </w:rPr>
        <w:t>Lebanon</w:t>
      </w:r>
      <w:r w:rsidR="000169D1" w:rsidRPr="00F15F93">
        <w:rPr>
          <w:rFonts w:cs="Arial"/>
          <w:szCs w:val="18"/>
        </w:rPr>
        <w:t xml:space="preserve"> </w:t>
      </w:r>
      <w:r w:rsidR="00B871B1" w:rsidRPr="00F15F93">
        <w:rPr>
          <w:rFonts w:cs="Arial"/>
          <w:szCs w:val="18"/>
        </w:rPr>
        <w:t xml:space="preserve">and in the best SEW country (Costa Rica). It stands today at </w:t>
      </w:r>
      <w:r w:rsidR="0031124D" w:rsidRPr="0031124D">
        <w:rPr>
          <w:rFonts w:eastAsiaTheme="minorEastAsia" w:cs="Arial"/>
          <w:szCs w:val="18"/>
          <w:lang w:eastAsia="en-GB"/>
        </w:rPr>
        <w:t>2438</w:t>
      </w:r>
      <w:r w:rsidR="00B871B1" w:rsidRPr="00F15F93">
        <w:rPr>
          <w:rFonts w:cs="Arial"/>
          <w:szCs w:val="18"/>
        </w:rPr>
        <w:t xml:space="preserve"> in women and </w:t>
      </w:r>
      <w:r w:rsidR="0031124D" w:rsidRPr="0031124D">
        <w:rPr>
          <w:rFonts w:eastAsiaTheme="minorEastAsia" w:cs="Arial"/>
          <w:szCs w:val="18"/>
          <w:lang w:eastAsia="en-GB"/>
        </w:rPr>
        <w:t>2986</w:t>
      </w:r>
      <w:r w:rsidR="00B871B1" w:rsidRPr="00F15F93">
        <w:rPr>
          <w:rFonts w:cs="Arial"/>
          <w:szCs w:val="18"/>
        </w:rPr>
        <w:t xml:space="preserve"> in men, totalling </w:t>
      </w:r>
      <w:r w:rsidR="0031124D" w:rsidRPr="0031124D">
        <w:rPr>
          <w:rFonts w:eastAsiaTheme="minorEastAsia" w:cs="Arial"/>
          <w:szCs w:val="18"/>
          <w:lang w:eastAsia="en-GB"/>
        </w:rPr>
        <w:t>5371</w:t>
      </w:r>
      <w:r w:rsidR="00B871B1" w:rsidRPr="00F15F93">
        <w:rPr>
          <w:rFonts w:cs="Arial"/>
          <w:szCs w:val="18"/>
        </w:rPr>
        <w:t xml:space="preserve"> excess deaths (</w:t>
      </w:r>
      <w:r w:rsidR="0031124D" w:rsidRPr="0031124D">
        <w:rPr>
          <w:rFonts w:eastAsiaTheme="minorEastAsia" w:cs="Arial"/>
          <w:i/>
          <w:iCs/>
          <w:szCs w:val="18"/>
          <w:lang w:eastAsia="en-GB"/>
        </w:rPr>
        <w:t>0.0239%</w:t>
      </w:r>
      <w:r w:rsidR="00B871B1" w:rsidRPr="00F15F93">
        <w:rPr>
          <w:rFonts w:cs="Arial"/>
          <w:szCs w:val="18"/>
        </w:rPr>
        <w:t xml:space="preserve"> of the world’s total burden ref. best SEW vs. </w:t>
      </w:r>
      <w:r w:rsidR="00F15F93" w:rsidRPr="00F15F93">
        <w:rPr>
          <w:rFonts w:cs="Arial"/>
          <w:szCs w:val="18"/>
        </w:rPr>
        <w:t xml:space="preserve">being </w:t>
      </w:r>
      <w:r w:rsidR="0031124D" w:rsidRPr="0031124D">
        <w:rPr>
          <w:rFonts w:eastAsiaTheme="minorEastAsia" w:cs="Arial"/>
          <w:i/>
          <w:iCs/>
          <w:szCs w:val="18"/>
          <w:lang w:eastAsia="en-GB"/>
        </w:rPr>
        <w:t>0.0904%</w:t>
      </w:r>
      <w:r w:rsidR="00F15F93" w:rsidRPr="00F15F93">
        <w:rPr>
          <w:rFonts w:cs="Arial"/>
          <w:szCs w:val="18"/>
        </w:rPr>
        <w:t xml:space="preserve"> of the population).</w:t>
      </w: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20</w:t>
      </w:r>
      <w:r w:rsidR="00AD744D">
        <w:rPr>
          <w:color w:val="1F4E79" w:themeColor="accent1" w:themeShade="80"/>
        </w:rPr>
        <w:fldChar w:fldCharType="end"/>
      </w:r>
      <w:r w:rsidRPr="00E963F0">
        <w:rPr>
          <w:color w:val="1F4E79" w:themeColor="accent1" w:themeShade="80"/>
        </w:rPr>
        <w:t xml:space="preserve"> nBHiE </w:t>
      </w:r>
      <w:r w:rsidR="005B3AC9">
        <w:rPr>
          <w:color w:val="1F4E79" w:themeColor="accent1" w:themeShade="80"/>
        </w:rPr>
        <w:t xml:space="preserve">vs best SEW reference </w:t>
      </w:r>
      <w:r w:rsidRPr="00E963F0">
        <w:rPr>
          <w:color w:val="1F4E79" w:themeColor="accent1" w:themeShade="80"/>
        </w:rPr>
        <w:t>by age and sex</w:t>
      </w:r>
      <w:r w:rsidR="005B3AC9">
        <w:rPr>
          <w:color w:val="1F4E79" w:themeColor="accent1" w:themeShade="80"/>
        </w:rPr>
        <w:t>, 20</w:t>
      </w:r>
      <w:r w:rsidRPr="00E963F0">
        <w:rPr>
          <w:color w:val="1F4E79" w:themeColor="accent1" w:themeShade="80"/>
        </w:rPr>
        <w:t>16-2020</w:t>
      </w:r>
    </w:p>
    <w:p w:rsidR="009251FF" w:rsidRDefault="00847772" w:rsidP="00E2114C">
      <w:pPr>
        <w:jc w:val="center"/>
      </w:pPr>
      <w:r>
        <w:pict>
          <v:shape id="_x0000_i1042" type="#_x0000_t75" style="width:651.35pt;height:255.55pt">
            <v:imagedata r:id="rId26" o:title=""/>
          </v:shape>
        </w:pict>
      </w:r>
    </w:p>
    <w:p w:rsidR="00F15F93" w:rsidRPr="00F42602" w:rsidRDefault="00F42602" w:rsidP="00F15F93">
      <w:pPr>
        <w:rPr>
          <w:rFonts w:asciiTheme="minorHAnsi" w:hAnsiTheme="minorHAnsi"/>
          <w:color w:val="auto"/>
          <w:sz w:val="22"/>
        </w:rPr>
        <w:sectPr w:rsidR="00F15F93" w:rsidRPr="00F42602" w:rsidSect="009C7BD3">
          <w:pgSz w:w="16838" w:h="11906" w:orient="landscape"/>
          <w:pgMar w:top="1440" w:right="1440" w:bottom="1440" w:left="1440" w:header="708" w:footer="708" w:gutter="0"/>
          <w:cols w:space="708"/>
          <w:docGrid w:linePitch="360"/>
        </w:sectPr>
      </w:pPr>
      <w:r w:rsidRPr="00F42602">
        <w:rPr>
          <w:rFonts w:asciiTheme="minorHAnsi" w:hAnsiTheme="minorHAnsi"/>
          <w:color w:val="auto"/>
          <w:sz w:val="22"/>
        </w:rPr>
        <w:t>The above figure represents the age distribution of the excess mortality in reference to the best SEW reference. It reflects</w:t>
      </w:r>
      <w:r w:rsidR="007E52F6">
        <w:rPr>
          <w:rFonts w:asciiTheme="minorHAnsi" w:hAnsiTheme="minorHAnsi"/>
          <w:color w:val="auto"/>
          <w:sz w:val="22"/>
        </w:rPr>
        <w:t xml:space="preserve"> </w:t>
      </w:r>
      <w:r w:rsidR="009C7BD3">
        <w:rPr>
          <w:rFonts w:asciiTheme="minorHAnsi" w:hAnsiTheme="minorHAnsi"/>
          <w:color w:val="auto"/>
          <w:sz w:val="22"/>
        </w:rPr>
        <w:t>excess mortality</w:t>
      </w:r>
      <w:r w:rsidR="00292039">
        <w:rPr>
          <w:rFonts w:asciiTheme="minorHAnsi" w:hAnsiTheme="minorHAnsi"/>
          <w:color w:val="auto"/>
          <w:sz w:val="22"/>
        </w:rPr>
        <w:t xml:space="preserve"> </w:t>
      </w:r>
      <w:r w:rsidR="00E5546B">
        <w:rPr>
          <w:rFonts w:asciiTheme="minorHAnsi" w:hAnsiTheme="minorHAnsi"/>
          <w:color w:val="auto"/>
          <w:sz w:val="22"/>
        </w:rPr>
        <w:t>in children</w:t>
      </w:r>
      <w:r w:rsidR="00292039">
        <w:rPr>
          <w:rFonts w:asciiTheme="minorHAnsi" w:hAnsiTheme="minorHAnsi"/>
          <w:color w:val="auto"/>
          <w:sz w:val="22"/>
        </w:rPr>
        <w:t xml:space="preserve"> under 5</w:t>
      </w:r>
      <w:r w:rsidR="004D3003">
        <w:rPr>
          <w:rFonts w:asciiTheme="minorHAnsi" w:hAnsiTheme="minorHAnsi"/>
          <w:color w:val="auto"/>
          <w:sz w:val="22"/>
        </w:rPr>
        <w:t>, more in girls, and in older than 60 years, more in men than in women.</w:t>
      </w:r>
    </w:p>
    <w:p w:rsidR="00E2114C" w:rsidRPr="00E963F0" w:rsidRDefault="00E2114C" w:rsidP="00E2114C">
      <w:pPr>
        <w:jc w:val="center"/>
      </w:pPr>
    </w:p>
    <w:p w:rsidR="00D90AA8" w:rsidRPr="00E963F0" w:rsidRDefault="00D90AA8" w:rsidP="00E2114C">
      <w:pPr>
        <w:jc w:val="center"/>
      </w:pPr>
    </w:p>
    <w:p w:rsidR="005C4322"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21</w:t>
      </w:r>
      <w:r w:rsidR="00AD744D">
        <w:rPr>
          <w:color w:val="1F4E79" w:themeColor="accent1" w:themeShade="80"/>
        </w:rPr>
        <w:fldChar w:fldCharType="end"/>
      </w:r>
      <w:r w:rsidRPr="00E963F0">
        <w:rPr>
          <w:color w:val="1F4E79" w:themeColor="accent1" w:themeShade="80"/>
        </w:rPr>
        <w:t xml:space="preserve"> rBHiE by sex and time period vs international average, 1961-2020</w:t>
      </w:r>
    </w:p>
    <w:p w:rsidR="00D15356" w:rsidRPr="00D15356" w:rsidRDefault="00847772" w:rsidP="00251CC5">
      <w:pPr>
        <w:jc w:val="center"/>
      </w:pPr>
      <w:r>
        <w:pict>
          <v:shape id="_x0000_i1043" type="#_x0000_t75" style="width:654.25pt;height:254.7pt">
            <v:imagedata r:id="rId27" o:title=""/>
          </v:shape>
        </w:pict>
      </w:r>
    </w:p>
    <w:p w:rsidR="00D90AA8" w:rsidRPr="00E963F0" w:rsidRDefault="00D90AA8" w:rsidP="00E2114C">
      <w:pPr>
        <w:jc w:val="center"/>
      </w:pPr>
    </w:p>
    <w:p w:rsidR="00D90AA8" w:rsidRPr="008E462D" w:rsidRDefault="00C71410" w:rsidP="00C71410">
      <w:pPr>
        <w:rPr>
          <w:rFonts w:cs="Arial"/>
          <w:szCs w:val="18"/>
        </w:rPr>
      </w:pPr>
      <w:r w:rsidRPr="008E462D">
        <w:rPr>
          <w:rFonts w:cs="Arial"/>
          <w:szCs w:val="18"/>
        </w:rPr>
        <w:t xml:space="preserve">The figure above shows the share of excess mortality ref. best SEW in relation to the total number of deaths, that is, the rBHiE. It evolved during the 1961-2020 period until today’s level of </w:t>
      </w:r>
      <w:r w:rsidR="0031124D" w:rsidRPr="0031124D">
        <w:rPr>
          <w:rFonts w:eastAsiaTheme="minorEastAsia" w:cs="Arial"/>
          <w:szCs w:val="18"/>
          <w:lang w:eastAsia="en-GB"/>
        </w:rPr>
        <w:t>18.67%</w:t>
      </w:r>
      <w:r w:rsidR="008E462D" w:rsidRPr="008E462D">
        <w:rPr>
          <w:rFonts w:cs="Arial"/>
          <w:szCs w:val="18"/>
        </w:rPr>
        <w:t xml:space="preserve"> (</w:t>
      </w:r>
      <w:r w:rsidR="0031124D" w:rsidRPr="0031124D">
        <w:rPr>
          <w:rFonts w:eastAsiaTheme="minorEastAsia" w:cs="Arial"/>
          <w:szCs w:val="18"/>
          <w:lang w:eastAsia="en-GB"/>
        </w:rPr>
        <w:t>47%</w:t>
      </w:r>
      <w:r w:rsidR="008E462D" w:rsidRPr="008E462D">
        <w:rPr>
          <w:rFonts w:cs="Arial"/>
          <w:szCs w:val="18"/>
        </w:rPr>
        <w:t xml:space="preserve"> of the world’s level-close to 40%-), </w:t>
      </w:r>
      <w:r w:rsidR="0031124D" w:rsidRPr="0031124D">
        <w:rPr>
          <w:rFonts w:eastAsiaTheme="minorEastAsia" w:cs="Arial"/>
          <w:szCs w:val="18"/>
          <w:lang w:eastAsia="en-GB"/>
        </w:rPr>
        <w:t>18.99%</w:t>
      </w:r>
      <w:r w:rsidR="008E462D" w:rsidRPr="008E462D">
        <w:rPr>
          <w:rFonts w:cs="Arial"/>
          <w:szCs w:val="18"/>
        </w:rPr>
        <w:t xml:space="preserve"> in women and </w:t>
      </w:r>
      <w:r w:rsidR="0031124D" w:rsidRPr="0031124D">
        <w:rPr>
          <w:rFonts w:eastAsiaTheme="minorEastAsia" w:cs="Arial"/>
          <w:szCs w:val="18"/>
          <w:lang w:eastAsia="en-GB"/>
        </w:rPr>
        <w:t>18.74%</w:t>
      </w:r>
      <w:r w:rsidR="008E462D" w:rsidRPr="008E462D">
        <w:rPr>
          <w:rFonts w:cs="Arial"/>
          <w:szCs w:val="18"/>
        </w:rPr>
        <w:t xml:space="preserve"> in men.</w:t>
      </w: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Default="00A82EF0" w:rsidP="005C4322">
      <w:pPr>
        <w:pStyle w:val="Caption"/>
        <w:keepNext/>
        <w:jc w:val="center"/>
        <w:rPr>
          <w:color w:val="1F4E79" w:themeColor="accent1" w:themeShade="80"/>
        </w:rPr>
      </w:pPr>
      <w:r w:rsidRPr="00E963F0">
        <w:rPr>
          <w:color w:val="1F4E79" w:themeColor="accent1" w:themeShade="80"/>
        </w:rPr>
        <w:t xml:space="preserve">Figure </w:t>
      </w:r>
      <w:r>
        <w:rPr>
          <w:color w:val="1F4E79" w:themeColor="accent1" w:themeShade="80"/>
        </w:rPr>
        <w:fldChar w:fldCharType="begin"/>
      </w:r>
      <w:r>
        <w:rPr>
          <w:color w:val="1F4E79" w:themeColor="accent1" w:themeShade="80"/>
        </w:rPr>
        <w:instrText xml:space="preserve"> SEQ Figure \* ARABIC </w:instrText>
      </w:r>
      <w:r>
        <w:rPr>
          <w:color w:val="1F4E79" w:themeColor="accent1" w:themeShade="80"/>
        </w:rPr>
        <w:fldChar w:fldCharType="separate"/>
      </w:r>
      <w:r>
        <w:rPr>
          <w:noProof/>
          <w:color w:val="1F4E79" w:themeColor="accent1" w:themeShade="80"/>
        </w:rPr>
        <w:t>22</w:t>
      </w:r>
      <w:r>
        <w:rPr>
          <w:color w:val="1F4E79" w:themeColor="accent1" w:themeShade="80"/>
        </w:rPr>
        <w:fldChar w:fldCharType="end"/>
      </w:r>
      <w:r w:rsidRPr="00E963F0">
        <w:rPr>
          <w:color w:val="1F4E79" w:themeColor="accent1" w:themeShade="80"/>
        </w:rPr>
        <w:t xml:space="preserve">rBHiE </w:t>
      </w:r>
      <w:r w:rsidR="005C365D">
        <w:rPr>
          <w:color w:val="1F4E79" w:themeColor="accent1" w:themeShade="80"/>
        </w:rPr>
        <w:t xml:space="preserve">ref best SEW </w:t>
      </w:r>
      <w:r w:rsidRPr="00E963F0">
        <w:rPr>
          <w:color w:val="1F4E79" w:themeColor="accent1" w:themeShade="80"/>
        </w:rPr>
        <w:t>by sex and age group</w:t>
      </w:r>
      <w:r>
        <w:rPr>
          <w:color w:val="1F4E79" w:themeColor="accent1" w:themeShade="80"/>
        </w:rPr>
        <w:t xml:space="preserve"> vs </w:t>
      </w:r>
      <w:r w:rsidR="005C4322" w:rsidRPr="00E963F0">
        <w:rPr>
          <w:color w:val="1F4E79" w:themeColor="accent1" w:themeShade="80"/>
        </w:rPr>
        <w:t>international average, 1916-2020</w:t>
      </w:r>
    </w:p>
    <w:p w:rsidR="00A82EF0" w:rsidRDefault="00847772" w:rsidP="00A82EF0">
      <w:pPr>
        <w:jc w:val="center"/>
      </w:pPr>
      <w:r>
        <w:pict>
          <v:shape id="_x0000_i1044" type="#_x0000_t75" style="width:645.5pt;height:251.8pt">
            <v:imagedata r:id="rId28" o:title=""/>
          </v:shape>
        </w:pict>
      </w:r>
    </w:p>
    <w:p w:rsidR="00A82EF0" w:rsidRDefault="00F42602" w:rsidP="00401459">
      <w:r w:rsidRPr="00F42602">
        <w:rPr>
          <w:rFonts w:asciiTheme="minorHAnsi" w:hAnsiTheme="minorHAnsi"/>
          <w:color w:val="auto"/>
          <w:sz w:val="22"/>
        </w:rPr>
        <w:t xml:space="preserve">The above figure represents the age distribution of the share of excess mortality in reference to the </w:t>
      </w:r>
      <w:r>
        <w:rPr>
          <w:rFonts w:asciiTheme="minorHAnsi" w:hAnsiTheme="minorHAnsi"/>
          <w:color w:val="auto"/>
          <w:sz w:val="22"/>
        </w:rPr>
        <w:t>best SEW reference and reveals</w:t>
      </w:r>
      <w:r w:rsidRPr="00F42602">
        <w:rPr>
          <w:rFonts w:asciiTheme="minorHAnsi" w:hAnsiTheme="minorHAnsi"/>
          <w:color w:val="auto"/>
          <w:sz w:val="22"/>
        </w:rPr>
        <w:t xml:space="preserve"> higher shares in </w:t>
      </w:r>
      <w:r w:rsidR="004D3003">
        <w:rPr>
          <w:rFonts w:asciiTheme="minorHAnsi" w:hAnsiTheme="minorHAnsi"/>
          <w:color w:val="auto"/>
          <w:sz w:val="22"/>
        </w:rPr>
        <w:t xml:space="preserve">girls under </w:t>
      </w:r>
      <w:r w:rsidR="00E5546B">
        <w:rPr>
          <w:rFonts w:asciiTheme="minorHAnsi" w:hAnsiTheme="minorHAnsi"/>
          <w:color w:val="auto"/>
          <w:sz w:val="22"/>
        </w:rPr>
        <w:t>5 (</w:t>
      </w:r>
      <w:r w:rsidR="004D3003">
        <w:rPr>
          <w:rFonts w:asciiTheme="minorHAnsi" w:hAnsiTheme="minorHAnsi"/>
          <w:color w:val="auto"/>
          <w:sz w:val="22"/>
        </w:rPr>
        <w:t>close to 30%) and in older than 65 years, higher in older men.</w:t>
      </w:r>
    </w:p>
    <w:p w:rsidR="00D90AA8" w:rsidRPr="00E963F0" w:rsidRDefault="00A82EF0" w:rsidP="00A82EF0">
      <w:pPr>
        <w:pStyle w:val="Heading2"/>
      </w:pPr>
      <w:r>
        <w:lastRenderedPageBreak/>
        <w:t xml:space="preserve">Sustainable and Equitable Wellbeing </w:t>
      </w:r>
      <w:r w:rsidR="003B32B1">
        <w:t xml:space="preserve">(SEW) </w:t>
      </w:r>
      <w:r>
        <w:t>index</w:t>
      </w:r>
    </w:p>
    <w:p w:rsidR="004607FC" w:rsidRPr="00E963F0" w:rsidRDefault="004607FC">
      <w:r w:rsidRPr="00E963F0">
        <w:rPr>
          <w:noProof/>
          <w:lang w:eastAsia="en-GB"/>
        </w:rPr>
        <mc:AlternateContent>
          <mc:Choice Requires="wps">
            <w:drawing>
              <wp:anchor distT="0" distB="0" distL="114300" distR="114300" simplePos="0" relativeHeight="251665408" behindDoc="0" locked="0" layoutInCell="1" allowOverlap="1" wp14:anchorId="07DBA4DB" wp14:editId="105024CD">
                <wp:simplePos x="0" y="0"/>
                <wp:positionH relativeFrom="column">
                  <wp:posOffset>-480224</wp:posOffset>
                </wp:positionH>
                <wp:positionV relativeFrom="paragraph">
                  <wp:posOffset>334915</wp:posOffset>
                </wp:positionV>
                <wp:extent cx="2254885" cy="4572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254885" cy="457200"/>
                        </a:xfrm>
                        <a:prstGeom prst="rect">
                          <a:avLst/>
                        </a:prstGeom>
                        <a:solidFill>
                          <a:prstClr val="white"/>
                        </a:solidFill>
                        <a:ln>
                          <a:noFill/>
                        </a:ln>
                      </wps:spPr>
                      <wps:txbx>
                        <w:txbxContent>
                          <w:p w:rsidR="00A430C7" w:rsidRPr="00692E2C" w:rsidRDefault="00A430C7" w:rsidP="005C4322">
                            <w:pPr>
                              <w:pStyle w:val="Caption"/>
                              <w:rPr>
                                <w:noProof/>
                              </w:rPr>
                            </w:pPr>
                            <w:r>
                              <w:t xml:space="preserve">Figure </w:t>
                            </w:r>
                            <w:fldSimple w:instr=" SEQ Figure \* ARABIC ">
                              <w:r>
                                <w:rPr>
                                  <w:noProof/>
                                </w:rPr>
                                <w:t>23</w:t>
                              </w:r>
                            </w:fldSimple>
                            <w:r>
                              <w:t>LYL on others by excess emissions and excess income, 1961-2020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07DBA4DB" id="_x0000_t202" coordsize="21600,21600" o:spt="202" path="m,l,21600r21600,l21600,xe">
                <v:stroke joinstyle="miter"/>
                <v:path gradientshapeok="t" o:connecttype="rect"/>
              </v:shapetype>
              <v:shape id="Text Box 1" o:spid="_x0000_s1026" type="#_x0000_t202" style="position:absolute;margin-left:-37.8pt;margin-top:26.35pt;width:177.55pt;height:3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" stroked="f">
                <v:textbox inset="0,0,0,0">
                  <w:txbxContent>
                    <w:p w:rsidR="00A430C7" w:rsidRPr="00692E2C" w:rsidRDefault="00A430C7" w:rsidP="005C4322">
                      <w:pPr>
                        <w:pStyle w:val="Caption"/>
                        <w:rPr>
                          <w:noProof/>
                        </w:rPr>
                      </w:pPr>
                      <w:r>
                        <w:t xml:space="preserve">Figure </w:t>
                      </w:r>
                      <w:r w:rsidR="007463B8">
                        <w:fldChar w:fldCharType="begin"/>
                      </w:r>
                      <w:r w:rsidR="007463B8">
                        <w:instrText xml:space="preserve"> SEQ Figure \* ARABIC </w:instrText>
                      </w:r>
                      <w:r w:rsidR="007463B8">
                        <w:fldChar w:fldCharType="separate"/>
                      </w:r>
                      <w:r>
                        <w:rPr>
                          <w:noProof/>
                        </w:rPr>
                        <w:t>23</w:t>
                      </w:r>
                      <w:r w:rsidR="007463B8">
                        <w:rPr>
                          <w:noProof/>
                        </w:rPr>
                        <w:fldChar w:fldCharType="end"/>
                      </w:r>
                      <w:r>
                        <w:t>LYL on others by excess emissions and excess income, 1961-2020</w:t>
                      </w:r>
                    </w:p>
                  </w:txbxContent>
                </v:textbox>
                <w10:wrap type="square"/>
              </v:shape>
            </w:pict>
          </mc:Fallback>
        </mc:AlternateContent>
      </w:r>
    </w:p>
    <w:p w:rsidR="00D90AA8" w:rsidRPr="00E963F0" w:rsidRDefault="00847772">
      <w:r>
        <w:rPr>
          <w:noProof/>
        </w:rPr>
        <w:pict>
          <v:shape id="_x0000_s1099" type="#_x0000_t75" style="position:absolute;margin-left:169.55pt;margin-top:15.25pt;width:549.2pt;height:223.3pt;z-index:251673600">
            <v:imagedata r:id="rId29" o:title=""/>
            <w10:wrap type="square"/>
          </v:shape>
        </w:pict>
      </w:r>
      <w:r w:rsidR="004607FC" w:rsidRPr="00E963F0">
        <w:t xml:space="preserve">Figure </w:t>
      </w:r>
      <w:fldSimple w:instr=" SEQ Figure \* ARABIC ">
        <w:r w:rsidR="00AD744D">
          <w:rPr>
            <w:noProof/>
          </w:rPr>
          <w:t>24</w:t>
        </w:r>
      </w:fldSimple>
      <w:r w:rsidR="004607FC" w:rsidRPr="00E963F0">
        <w:t>Sustainable and equitable wellbeing index, 1961-2020</w:t>
      </w:r>
    </w:p>
    <w:p w:rsidR="00D90AA8" w:rsidRPr="00E963F0" w:rsidRDefault="00847772" w:rsidP="004607FC">
      <w:pPr>
        <w:pStyle w:val="Caption"/>
        <w:rPr>
          <w:color w:val="1F4E79" w:themeColor="accent1" w:themeShade="80"/>
        </w:rPr>
      </w:pPr>
      <w:r>
        <w:rPr>
          <w:noProof/>
        </w:rPr>
        <w:pict>
          <v:shape id="_x0000_s1098" type="#_x0000_t75" style="position:absolute;margin-left:-39.3pt;margin-top:13.05pt;width:203.65pt;height:212pt;z-index:251671552">
            <v:imagedata r:id="rId30" o:title=""/>
            <w10:wrap type="square"/>
          </v:shape>
        </w:pict>
      </w:r>
    </w:p>
    <w:p w:rsidR="00D90AA8" w:rsidRDefault="00D90AA8"/>
    <w:p w:rsidR="00AF4B75" w:rsidRDefault="008E462D" w:rsidP="000169D1">
      <w:pPr>
        <w:rPr>
          <w:rFonts w:cs="Arial"/>
          <w:szCs w:val="18"/>
        </w:rPr>
      </w:pPr>
      <w:r w:rsidRPr="00C8195B">
        <w:rPr>
          <w:rFonts w:cs="Arial"/>
          <w:szCs w:val="18"/>
        </w:rPr>
        <w:t xml:space="preserve">This last figure of our analysis of the equity profile in </w:t>
      </w:r>
      <w:r w:rsidR="0031124D" w:rsidRPr="0031124D">
        <w:rPr>
          <w:rFonts w:eastAsiaTheme="minorEastAsia" w:cs="Arial"/>
          <w:szCs w:val="18"/>
          <w:lang w:eastAsia="en-GB"/>
        </w:rPr>
        <w:t>Lebanon</w:t>
      </w:r>
      <w:r w:rsidR="000169D1" w:rsidRPr="00F15F93">
        <w:rPr>
          <w:rFonts w:cs="Arial"/>
          <w:szCs w:val="18"/>
        </w:rPr>
        <w:t xml:space="preserve"> </w:t>
      </w:r>
      <w:r w:rsidR="000169D1">
        <w:rPr>
          <w:rFonts w:cs="Arial"/>
          <w:szCs w:val="18"/>
        </w:rPr>
        <w:t xml:space="preserve"> </w:t>
      </w:r>
      <w:r w:rsidRPr="00C8195B">
        <w:rPr>
          <w:rFonts w:cs="Arial"/>
          <w:szCs w:val="18"/>
        </w:rPr>
        <w:t xml:space="preserve">reveals the </w:t>
      </w:r>
      <w:r w:rsidR="00EB1DC5" w:rsidRPr="00C8195B">
        <w:rPr>
          <w:rFonts w:cs="Arial"/>
          <w:szCs w:val="18"/>
        </w:rPr>
        <w:t xml:space="preserve">sustainable and equitable index, that is, the average life expectancy </w:t>
      </w:r>
      <w:r w:rsidR="00D15356">
        <w:rPr>
          <w:rFonts w:cs="Arial"/>
          <w:szCs w:val="18"/>
        </w:rPr>
        <w:t xml:space="preserve">at birth </w:t>
      </w:r>
      <w:r w:rsidR="00EB1DC5" w:rsidRPr="00C8195B">
        <w:rPr>
          <w:rFonts w:cs="Arial"/>
          <w:szCs w:val="18"/>
        </w:rPr>
        <w:t>after deducting the damage on other countries through excess</w:t>
      </w:r>
      <w:r w:rsidR="00D15356">
        <w:rPr>
          <w:rFonts w:cs="Arial"/>
          <w:szCs w:val="18"/>
        </w:rPr>
        <w:t xml:space="preserve"> income </w:t>
      </w:r>
      <w:r w:rsidR="00EB1DC5" w:rsidRPr="00C8195B">
        <w:rPr>
          <w:rFonts w:cs="Arial"/>
          <w:szCs w:val="18"/>
        </w:rPr>
        <w:t xml:space="preserve">(in the present generations) and through excess CO2 emissions (in the coming generations). </w:t>
      </w:r>
      <w:r w:rsidR="00FF618F">
        <w:rPr>
          <w:rFonts w:cs="Arial"/>
          <w:szCs w:val="18"/>
        </w:rPr>
        <w:t xml:space="preserve">We estimated </w:t>
      </w:r>
      <w:r w:rsidR="00FF618F" w:rsidRPr="00FF618F">
        <w:t>one week life lost per annual GDP pc 1000$ above the excess threshold</w:t>
      </w:r>
      <w:r w:rsidR="00FF618F">
        <w:t xml:space="preserve"> and </w:t>
      </w:r>
      <w:r w:rsidR="00FF618F" w:rsidRPr="00FF618F">
        <w:t xml:space="preserve">two life days lost per annual excess CO2 </w:t>
      </w:r>
      <w:r w:rsidR="00D15356">
        <w:t>mT</w:t>
      </w:r>
      <w:r w:rsidR="00FF618F" w:rsidRPr="00FF618F">
        <w:t>on above the ethical threshold</w:t>
      </w:r>
      <w:r w:rsidR="00FF618F">
        <w:rPr>
          <w:rStyle w:val="FootnoteReference"/>
        </w:rPr>
        <w:footnoteReference w:id="6"/>
      </w:r>
      <w:r w:rsidR="00FF618F">
        <w:t xml:space="preserve"> </w:t>
      </w:r>
      <w:r w:rsidR="00FF618F">
        <w:rPr>
          <w:rStyle w:val="FootnoteReference"/>
        </w:rPr>
        <w:footnoteReference w:id="7"/>
      </w:r>
      <w:r w:rsidR="00FF618F" w:rsidRPr="00FF618F">
        <w:t>.</w:t>
      </w:r>
      <w:r w:rsidR="00FF618F">
        <w:t xml:space="preserve"> </w:t>
      </w:r>
      <w:r w:rsidR="00EB1DC5" w:rsidRPr="00C8195B">
        <w:rPr>
          <w:rFonts w:cs="Arial"/>
          <w:szCs w:val="18"/>
        </w:rPr>
        <w:t xml:space="preserve">With </w:t>
      </w:r>
      <w:r w:rsidR="0031124D" w:rsidRPr="0031124D">
        <w:rPr>
          <w:rFonts w:eastAsiaTheme="minorEastAsia" w:cs="Arial"/>
          <w:szCs w:val="18"/>
          <w:lang w:eastAsia="en-GB"/>
        </w:rPr>
        <w:t>-0.88</w:t>
      </w:r>
      <w:r w:rsidR="00EB1DC5" w:rsidRPr="00C8195B">
        <w:rPr>
          <w:rFonts w:cs="Arial"/>
          <w:szCs w:val="18"/>
        </w:rPr>
        <w:t xml:space="preserve"> impact through excess carbon emissions and </w:t>
      </w:r>
      <w:r w:rsidR="0031124D" w:rsidRPr="0031124D">
        <w:rPr>
          <w:rFonts w:eastAsiaTheme="minorEastAsia" w:cs="Arial"/>
          <w:szCs w:val="18"/>
          <w:lang w:eastAsia="en-GB"/>
        </w:rPr>
        <w:t>0.00</w:t>
      </w:r>
      <w:r w:rsidR="00EB1DC5" w:rsidRPr="00C8195B">
        <w:rPr>
          <w:rFonts w:cs="Arial"/>
          <w:szCs w:val="18"/>
        </w:rPr>
        <w:t xml:space="preserve"> by excess income, it stands today at </w:t>
      </w:r>
      <w:r w:rsidR="0031124D" w:rsidRPr="0031124D">
        <w:rPr>
          <w:rFonts w:eastAsiaTheme="minorEastAsia" w:cs="Arial"/>
          <w:szCs w:val="18"/>
          <w:lang w:eastAsia="en-GB"/>
        </w:rPr>
        <w:t>78.85</w:t>
      </w:r>
      <w:r w:rsidR="00EB1DC5" w:rsidRPr="00C8195B">
        <w:rPr>
          <w:rFonts w:cs="Arial"/>
          <w:szCs w:val="18"/>
        </w:rPr>
        <w:t xml:space="preserve"> life years, and ranks </w:t>
      </w:r>
      <w:r w:rsidR="0031124D" w:rsidRPr="0031124D">
        <w:rPr>
          <w:rFonts w:eastAsiaTheme="minorEastAsia" w:cs="Arial"/>
          <w:szCs w:val="18"/>
          <w:lang w:eastAsia="en-GB"/>
        </w:rPr>
        <w:t>5</w:t>
      </w:r>
      <w:r w:rsidR="00EB1DC5" w:rsidRPr="00C8195B">
        <w:rPr>
          <w:rFonts w:cs="Arial"/>
          <w:szCs w:val="18"/>
        </w:rPr>
        <w:t xml:space="preserve"> in the world, </w:t>
      </w:r>
      <w:r w:rsidR="0031124D" w:rsidRPr="0031124D">
        <w:rPr>
          <w:rFonts w:eastAsiaTheme="minorEastAsia" w:cs="Arial"/>
          <w:szCs w:val="18"/>
          <w:lang w:eastAsia="en-GB"/>
        </w:rPr>
        <w:t>87</w:t>
      </w:r>
      <w:r w:rsidR="00EB1DC5" w:rsidRPr="00C8195B">
        <w:rPr>
          <w:rFonts w:cs="Arial"/>
          <w:szCs w:val="18"/>
        </w:rPr>
        <w:t xml:space="preserve"> positions </w:t>
      </w:r>
      <w:r w:rsidR="0031124D" w:rsidRPr="0031124D">
        <w:rPr>
          <w:rFonts w:eastAsiaTheme="minorEastAsia" w:cs="Arial"/>
          <w:szCs w:val="18"/>
          <w:lang w:eastAsia="en-GB"/>
        </w:rPr>
        <w:t>above</w:t>
      </w:r>
      <w:r w:rsidR="00EB1DC5" w:rsidRPr="00C8195B">
        <w:rPr>
          <w:rFonts w:cs="Arial"/>
          <w:szCs w:val="18"/>
        </w:rPr>
        <w:t xml:space="preserve"> the Human development Index</w:t>
      </w:r>
      <w:r w:rsidR="00C8195B" w:rsidRPr="00C8195B">
        <w:rPr>
          <w:rFonts w:cs="Arial"/>
          <w:szCs w:val="18"/>
        </w:rPr>
        <w:t xml:space="preserve"> (which does not limit CO2 emissions or excess GDP pc income).</w:t>
      </w:r>
    </w:p>
    <w:p w:rsidR="005876FD" w:rsidRDefault="005876FD" w:rsidP="00AF4B75">
      <w:pPr>
        <w:widowControl w:val="0"/>
        <w:spacing w:after="0"/>
        <w:rPr>
          <w:rFonts w:cs="Arial"/>
          <w:szCs w:val="18"/>
        </w:rPr>
      </w:pPr>
    </w:p>
    <w:p w:rsidR="009C7BD3" w:rsidRDefault="009C7BD3" w:rsidP="00AF4B75">
      <w:pPr>
        <w:widowControl w:val="0"/>
        <w:spacing w:after="0"/>
        <w:rPr>
          <w:rFonts w:cs="Arial"/>
          <w:szCs w:val="18"/>
        </w:rPr>
        <w:sectPr w:rsidR="009C7BD3" w:rsidSect="009C7BD3">
          <w:pgSz w:w="16838" w:h="11906" w:orient="landscape"/>
          <w:pgMar w:top="1440" w:right="1440" w:bottom="1440" w:left="1440" w:header="709" w:footer="709" w:gutter="0"/>
          <w:cols w:space="708"/>
          <w:docGrid w:linePitch="360"/>
        </w:sect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AF4B75" w:rsidRDefault="00AF4B75" w:rsidP="00AF4B75">
      <w:pPr>
        <w:widowControl w:val="0"/>
        <w:spacing w:after="0"/>
        <w:rPr>
          <w:rFonts w:cs="Arial"/>
          <w:szCs w:val="18"/>
        </w:rPr>
      </w:pPr>
      <w:r w:rsidRPr="00AF4B75">
        <w:rPr>
          <w:rFonts w:cs="Arial"/>
          <w:noProof/>
          <w:szCs w:val="18"/>
          <w:lang w:eastAsia="en-GB"/>
        </w:rPr>
        <mc:AlternateContent>
          <mc:Choice Requires="wps">
            <w:drawing>
              <wp:anchor distT="45720" distB="45720" distL="114300" distR="114300" simplePos="0" relativeHeight="251669504" behindDoc="0" locked="0" layoutInCell="1" allowOverlap="1">
                <wp:simplePos x="0" y="0"/>
                <wp:positionH relativeFrom="margin">
                  <wp:align>left</wp:align>
                </wp:positionH>
                <wp:positionV relativeFrom="paragraph">
                  <wp:posOffset>182245</wp:posOffset>
                </wp:positionV>
                <wp:extent cx="5886450" cy="1917700"/>
                <wp:effectExtent l="0" t="0" r="1905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1917700"/>
                        </a:xfrm>
                        <a:prstGeom prst="rect">
                          <a:avLst/>
                        </a:prstGeom>
                        <a:solidFill>
                          <a:schemeClr val="bg2"/>
                        </a:solidFill>
                        <a:ln w="9525">
                          <a:solidFill>
                            <a:srgbClr val="000000"/>
                          </a:solidFill>
                          <a:miter lim="800000"/>
                          <a:headEnd/>
                          <a:tailEnd/>
                        </a:ln>
                      </wps:spPr>
                      <wps:txbx>
                        <w:txbxContent>
                          <w:p w:rsidR="00A430C7" w:rsidRDefault="00A430C7" w:rsidP="00AF4B75">
                            <w:pPr>
                              <w:widowControl w:val="0"/>
                              <w:spacing w:after="0"/>
                              <w:rPr>
                                <w:rFonts w:cs="Arial"/>
                                <w:szCs w:val="18"/>
                              </w:rPr>
                            </w:pPr>
                            <w:r w:rsidRPr="004E516E">
                              <w:rPr>
                                <w:rFonts w:cs="Arial"/>
                                <w:szCs w:val="18"/>
                              </w:rPr>
                              <w:t xml:space="preserve">In summary, the equity profile of </w:t>
                            </w:r>
                            <w:r w:rsidR="0031124D" w:rsidRPr="0031124D">
                              <w:rPr>
                                <w:rFonts w:eastAsiaTheme="minorEastAsia" w:cs="Arial"/>
                                <w:szCs w:val="18"/>
                                <w:lang w:eastAsia="en-GB"/>
                              </w:rPr>
                              <w:t>Lebanon</w:t>
                            </w:r>
                            <w:r w:rsidRPr="004E516E">
                              <w:rPr>
                                <w:rFonts w:cs="Arial"/>
                                <w:szCs w:val="18"/>
                              </w:rPr>
                              <w:t xml:space="preserve">, reveals that with </w:t>
                            </w:r>
                            <w:r w:rsidR="0031124D" w:rsidRPr="0031124D">
                              <w:rPr>
                                <w:rFonts w:eastAsiaTheme="minorEastAsia" w:cs="Arial"/>
                                <w:szCs w:val="18"/>
                                <w:lang w:eastAsia="en-GB"/>
                              </w:rPr>
                              <w:t>17%</w:t>
                            </w:r>
                            <w:r w:rsidRPr="004E516E">
                              <w:rPr>
                                <w:rFonts w:cs="Arial"/>
                                <w:szCs w:val="18"/>
                              </w:rPr>
                              <w:t xml:space="preserve"> of the world average bio capacity pcy, its ecological footprint is </w:t>
                            </w:r>
                            <w:r w:rsidR="0031124D" w:rsidRPr="0031124D">
                              <w:rPr>
                                <w:rFonts w:eastAsiaTheme="minorEastAsia" w:cs="Arial"/>
                                <w:szCs w:val="18"/>
                                <w:lang w:eastAsia="en-GB"/>
                              </w:rPr>
                              <w:t>202%</w:t>
                            </w:r>
                            <w:r w:rsidRPr="004E516E">
                              <w:rPr>
                                <w:rFonts w:cs="Arial"/>
                                <w:szCs w:val="18"/>
                              </w:rPr>
                              <w:t xml:space="preserve"> of the global recycling threshold (</w:t>
                            </w:r>
                            <w:r w:rsidR="0031124D" w:rsidRPr="0031124D">
                              <w:rPr>
                                <w:rFonts w:eastAsiaTheme="minorEastAsia" w:cs="Arial"/>
                                <w:szCs w:val="18"/>
                                <w:lang w:eastAsia="en-GB"/>
                              </w:rPr>
                              <w:t>non-sustainable</w:t>
                            </w:r>
                            <w:r w:rsidRPr="004E516E">
                              <w:rPr>
                                <w:rFonts w:cs="Arial"/>
                                <w:szCs w:val="18"/>
                              </w:rPr>
                              <w:t xml:space="preserve">) and </w:t>
                            </w:r>
                            <w:r w:rsidR="0031124D" w:rsidRPr="0031124D">
                              <w:rPr>
                                <w:rFonts w:eastAsiaTheme="minorEastAsia" w:cs="Arial"/>
                                <w:iCs/>
                                <w:lang w:eastAsia="en-GB"/>
                              </w:rPr>
                              <w:t>also</w:t>
                            </w:r>
                            <w:r w:rsidRPr="00AF4B75">
                              <w:rPr>
                                <w:rFonts w:cs="Arial"/>
                                <w:szCs w:val="18"/>
                              </w:rPr>
                              <w:t xml:space="preserve"> </w:t>
                            </w:r>
                            <w:r w:rsidR="0031124D" w:rsidRPr="0031124D">
                              <w:rPr>
                                <w:rFonts w:eastAsiaTheme="minorEastAsia" w:cs="Arial"/>
                                <w:szCs w:val="18"/>
                                <w:lang w:eastAsia="en-GB"/>
                              </w:rPr>
                              <w:t>1159%</w:t>
                            </w:r>
                            <w:r w:rsidRPr="004E516E">
                              <w:rPr>
                                <w:rFonts w:cs="Arial"/>
                                <w:szCs w:val="18"/>
                              </w:rPr>
                              <w:t xml:space="preserve"> of its national recycling capacity (</w:t>
                            </w:r>
                            <w:r w:rsidR="0031124D" w:rsidRPr="0031124D">
                              <w:rPr>
                                <w:rFonts w:eastAsiaTheme="minorEastAsia" w:cs="Arial"/>
                                <w:szCs w:val="18"/>
                                <w:lang w:eastAsia="en-GB"/>
                              </w:rPr>
                              <w:t>non-sustainable</w:t>
                            </w:r>
                            <w:r w:rsidRPr="004E516E">
                              <w:rPr>
                                <w:rFonts w:cs="Arial"/>
                                <w:szCs w:val="18"/>
                              </w:rPr>
                              <w:t xml:space="preserve">). The level of CO2 emissions pcy is </w:t>
                            </w:r>
                            <w:r w:rsidR="0031124D" w:rsidRPr="0031124D">
                              <w:rPr>
                                <w:rFonts w:eastAsiaTheme="minorEastAsia" w:cs="Arial"/>
                                <w:szCs w:val="18"/>
                                <w:lang w:eastAsia="en-GB"/>
                              </w:rPr>
                              <w:t>234%</w:t>
                            </w:r>
                            <w:r w:rsidRPr="004E516E">
                              <w:rPr>
                                <w:rFonts w:cs="Arial"/>
                                <w:szCs w:val="18"/>
                              </w:rPr>
                              <w:t xml:space="preserve"> of the ethical threshold, therefore </w:t>
                            </w:r>
                            <w:r w:rsidR="0031124D" w:rsidRPr="0031124D">
                              <w:rPr>
                                <w:rFonts w:eastAsiaTheme="minorEastAsia" w:cs="Arial"/>
                                <w:szCs w:val="18"/>
                                <w:lang w:eastAsia="en-GB"/>
                              </w:rPr>
                              <w:t>contributing</w:t>
                            </w:r>
                            <w:r w:rsidR="0031124D" w:rsidRPr="0031124D">
                              <w:rPr>
                                <w:rFonts w:ascii="Calibri" w:eastAsiaTheme="minorEastAsia" w:hAnsi="Calibri" w:cs="Calibri"/>
                                <w:color w:val="000000"/>
                                <w:sz w:val="22"/>
                                <w:lang w:eastAsia="en-GB"/>
                              </w:rPr>
                              <w:t xml:space="preserve"> to</w:t>
                            </w:r>
                            <w:r w:rsidRPr="004E516E">
                              <w:rPr>
                                <w:rFonts w:cs="Arial"/>
                                <w:szCs w:val="18"/>
                              </w:rPr>
                              <w:t xml:space="preserve"> global warming. </w:t>
                            </w:r>
                            <w:r w:rsidR="0031124D" w:rsidRPr="0031124D">
                              <w:rPr>
                                <w:rFonts w:eastAsiaTheme="minorEastAsia" w:cs="Arial"/>
                                <w:szCs w:val="18"/>
                                <w:lang w:eastAsia="en-GB"/>
                              </w:rPr>
                              <w:t>Lebanon</w:t>
                            </w:r>
                            <w:r>
                              <w:rPr>
                                <w:rFonts w:cs="Arial"/>
                                <w:szCs w:val="18"/>
                              </w:rPr>
                              <w:t xml:space="preserve"> </w:t>
                            </w:r>
                            <w:r w:rsidRPr="004E516E">
                              <w:rPr>
                                <w:rFonts w:cs="Arial"/>
                                <w:szCs w:val="18"/>
                              </w:rPr>
                              <w:t xml:space="preserve">’s GDP CV pc is </w:t>
                            </w:r>
                            <w:r w:rsidR="0031124D" w:rsidRPr="0031124D">
                              <w:rPr>
                                <w:rFonts w:eastAsiaTheme="minorEastAsia" w:cs="Arial"/>
                                <w:szCs w:val="18"/>
                                <w:lang w:eastAsia="en-GB"/>
                              </w:rPr>
                              <w:t>70%</w:t>
                            </w:r>
                            <w:r w:rsidRPr="004E516E">
                              <w:rPr>
                                <w:rFonts w:cs="Arial"/>
                                <w:szCs w:val="18"/>
                              </w:rPr>
                              <w:t xml:space="preserve"> of the international average and </w:t>
                            </w:r>
                            <w:r w:rsidR="0031124D" w:rsidRPr="0031124D">
                              <w:rPr>
                                <w:rFonts w:eastAsiaTheme="minorEastAsia" w:cs="Arial"/>
                                <w:szCs w:val="18"/>
                                <w:lang w:eastAsia="en-GB"/>
                              </w:rPr>
                              <w:t>196%</w:t>
                            </w:r>
                            <w:r w:rsidRPr="004E516E">
                              <w:rPr>
                                <w:rFonts w:cs="Arial"/>
                                <w:szCs w:val="18"/>
                              </w:rPr>
                              <w:t xml:space="preserve"> of the HRS reference. Life expectancy is </w:t>
                            </w:r>
                            <w:r w:rsidR="0031124D" w:rsidRPr="0031124D">
                              <w:rPr>
                                <w:rFonts w:eastAsiaTheme="minorEastAsia" w:cs="Arial"/>
                                <w:szCs w:val="18"/>
                                <w:lang w:eastAsia="en-GB"/>
                              </w:rPr>
                              <w:t>6.40</w:t>
                            </w:r>
                            <w:r w:rsidRPr="004E516E">
                              <w:rPr>
                                <w:rFonts w:cs="Arial"/>
                                <w:szCs w:val="18"/>
                              </w:rPr>
                              <w:t xml:space="preserve"> years </w:t>
                            </w:r>
                            <w:r w:rsidR="0031124D" w:rsidRPr="0031124D">
                              <w:rPr>
                                <w:rFonts w:eastAsiaTheme="minorEastAsia" w:cs="Arial"/>
                                <w:szCs w:val="18"/>
                                <w:lang w:eastAsia="en-GB"/>
                              </w:rPr>
                              <w:t>above</w:t>
                            </w:r>
                            <w:r w:rsidRPr="004E516E">
                              <w:rPr>
                                <w:rFonts w:cs="Arial"/>
                                <w:szCs w:val="18"/>
                              </w:rPr>
                              <w:t xml:space="preserve"> the international average (</w:t>
                            </w:r>
                            <w:r w:rsidR="0031124D" w:rsidRPr="0031124D">
                              <w:rPr>
                                <w:rFonts w:eastAsiaTheme="minorEastAsia" w:cs="Arial"/>
                                <w:szCs w:val="18"/>
                                <w:lang w:eastAsia="en-GB"/>
                              </w:rPr>
                              <w:t>6.10</w:t>
                            </w:r>
                            <w:r w:rsidRPr="004E516E">
                              <w:rPr>
                                <w:rFonts w:cs="Arial"/>
                                <w:szCs w:val="18"/>
                              </w:rPr>
                              <w:t xml:space="preserve"> in women and </w:t>
                            </w:r>
                            <w:r w:rsidR="0031124D" w:rsidRPr="0031124D">
                              <w:rPr>
                                <w:rFonts w:eastAsiaTheme="minorEastAsia" w:cs="Arial"/>
                                <w:szCs w:val="18"/>
                                <w:lang w:eastAsia="en-GB"/>
                              </w:rPr>
                              <w:t>6.70</w:t>
                            </w:r>
                            <w:r w:rsidRPr="004E516E">
                              <w:rPr>
                                <w:rFonts w:cs="Arial"/>
                                <w:szCs w:val="18"/>
                              </w:rPr>
                              <w:t xml:space="preserve"> </w:t>
                            </w:r>
                            <w:r w:rsidR="0031124D" w:rsidRPr="0031124D">
                              <w:rPr>
                                <w:rFonts w:eastAsiaTheme="minorEastAsia" w:cs="Arial"/>
                                <w:szCs w:val="18"/>
                                <w:lang w:eastAsia="en-GB"/>
                              </w:rPr>
                              <w:t>above</w:t>
                            </w:r>
                            <w:r w:rsidRPr="004E516E">
                              <w:rPr>
                                <w:rFonts w:cs="Arial"/>
                                <w:szCs w:val="18"/>
                              </w:rPr>
                              <w:t xml:space="preserve"> in men) with a proportional sex difference of </w:t>
                            </w:r>
                            <w:r w:rsidR="0031124D" w:rsidRPr="0031124D">
                              <w:rPr>
                                <w:rFonts w:eastAsiaTheme="minorEastAsia" w:cs="Arial"/>
                                <w:szCs w:val="18"/>
                                <w:lang w:eastAsia="en-GB"/>
                              </w:rPr>
                              <w:t>4.81%</w:t>
                            </w:r>
                            <w:r w:rsidRPr="004E516E">
                              <w:rPr>
                                <w:rFonts w:cs="Arial"/>
                                <w:szCs w:val="18"/>
                              </w:rPr>
                              <w:t xml:space="preserve"> higher in women, </w:t>
                            </w:r>
                            <w:r w:rsidR="0031124D" w:rsidRPr="0031124D">
                              <w:rPr>
                                <w:rFonts w:eastAsiaTheme="minorEastAsia" w:cs="Arial"/>
                                <w:szCs w:val="18"/>
                                <w:lang w:eastAsia="en-GB"/>
                              </w:rPr>
                              <w:t>lower</w:t>
                            </w:r>
                            <w:r w:rsidRPr="004E516E">
                              <w:rPr>
                                <w:rFonts w:cs="Arial"/>
                                <w:szCs w:val="18"/>
                              </w:rPr>
                              <w:t xml:space="preserve"> than the world’s average. The present annual excess mortality in </w:t>
                            </w:r>
                            <w:r w:rsidR="0031124D" w:rsidRPr="0031124D">
                              <w:rPr>
                                <w:rFonts w:eastAsiaTheme="minorEastAsia" w:cs="Arial"/>
                                <w:szCs w:val="18"/>
                                <w:lang w:eastAsia="en-GB"/>
                              </w:rPr>
                              <w:t>Lebanon</w:t>
                            </w:r>
                            <w:r w:rsidRPr="004E516E">
                              <w:rPr>
                                <w:rFonts w:cs="Arial"/>
                                <w:szCs w:val="18"/>
                              </w:rPr>
                              <w:t xml:space="preserve">, in relation to HRS reference (feasible for all), is of </w:t>
                            </w:r>
                            <w:r w:rsidR="0031124D" w:rsidRPr="0031124D">
                              <w:rPr>
                                <w:rFonts w:eastAsiaTheme="minorEastAsia" w:cs="Arial"/>
                                <w:szCs w:val="18"/>
                                <w:lang w:eastAsia="en-GB"/>
                              </w:rPr>
                              <w:t>566</w:t>
                            </w:r>
                            <w:r w:rsidRPr="004E516E">
                              <w:rPr>
                                <w:rFonts w:cs="Arial"/>
                                <w:szCs w:val="18"/>
                              </w:rPr>
                              <w:t xml:space="preserve"> (</w:t>
                            </w:r>
                            <w:r w:rsidR="0031124D" w:rsidRPr="0031124D">
                              <w:rPr>
                                <w:rFonts w:eastAsiaTheme="minorEastAsia" w:cs="Arial"/>
                                <w:szCs w:val="18"/>
                                <w:lang w:eastAsia="en-GB"/>
                              </w:rPr>
                              <w:t>249</w:t>
                            </w:r>
                            <w:r w:rsidRPr="004E516E">
                              <w:rPr>
                                <w:rFonts w:cs="Arial"/>
                                <w:szCs w:val="18"/>
                              </w:rPr>
                              <w:t xml:space="preserve"> in women and </w:t>
                            </w:r>
                            <w:r w:rsidR="0031124D" w:rsidRPr="0031124D">
                              <w:rPr>
                                <w:rFonts w:eastAsiaTheme="minorEastAsia" w:cs="Arial"/>
                                <w:szCs w:val="18"/>
                                <w:lang w:eastAsia="en-GB"/>
                              </w:rPr>
                              <w:t>317</w:t>
                            </w:r>
                            <w:r w:rsidRPr="004E516E">
                              <w:rPr>
                                <w:rFonts w:cs="Arial"/>
                                <w:szCs w:val="18"/>
                              </w:rPr>
                              <w:t xml:space="preserve"> in men), meaning </w:t>
                            </w:r>
                            <w:r w:rsidR="0031124D" w:rsidRPr="0031124D">
                              <w:rPr>
                                <w:rFonts w:eastAsiaTheme="minorEastAsia" w:cs="Arial"/>
                                <w:szCs w:val="18"/>
                                <w:lang w:eastAsia="en-GB"/>
                              </w:rPr>
                              <w:t>1.96%</w:t>
                            </w:r>
                            <w:r>
                              <w:rPr>
                                <w:rFonts w:cs="Arial"/>
                                <w:szCs w:val="18"/>
                              </w:rPr>
                              <w:t xml:space="preserve"> </w:t>
                            </w:r>
                            <w:r w:rsidRPr="004E516E">
                              <w:rPr>
                                <w:rFonts w:cs="Arial"/>
                                <w:szCs w:val="18"/>
                              </w:rPr>
                              <w:t>of all deaths (</w:t>
                            </w:r>
                            <w:r w:rsidR="0031124D" w:rsidRPr="0031124D">
                              <w:rPr>
                                <w:rFonts w:eastAsiaTheme="minorEastAsia" w:cs="Arial"/>
                                <w:szCs w:val="18"/>
                                <w:lang w:eastAsia="en-GB"/>
                              </w:rPr>
                              <w:t>1.94%</w:t>
                            </w:r>
                            <w:r w:rsidRPr="004E516E">
                              <w:rPr>
                                <w:rFonts w:cs="Arial"/>
                                <w:szCs w:val="18"/>
                              </w:rPr>
                              <w:t xml:space="preserve"> in women and </w:t>
                            </w:r>
                            <w:r w:rsidR="0031124D" w:rsidRPr="0031124D">
                              <w:rPr>
                                <w:rFonts w:eastAsiaTheme="minorEastAsia" w:cs="Arial"/>
                                <w:szCs w:val="18"/>
                                <w:lang w:eastAsia="en-GB"/>
                              </w:rPr>
                              <w:t>1.99%</w:t>
                            </w:r>
                            <w:r w:rsidRPr="004E516E">
                              <w:rPr>
                                <w:rFonts w:cs="Arial"/>
                                <w:szCs w:val="18"/>
                              </w:rPr>
                              <w:t xml:space="preserve"> in men). When compared with the best level of sustainable and equitable wellbeing, the present annual excess mortality rises to </w:t>
                            </w:r>
                            <w:r w:rsidR="0031124D" w:rsidRPr="0031124D">
                              <w:rPr>
                                <w:rFonts w:eastAsiaTheme="minorEastAsia" w:cs="Arial"/>
                                <w:szCs w:val="18"/>
                                <w:lang w:eastAsia="en-GB"/>
                              </w:rPr>
                              <w:t>5371</w:t>
                            </w:r>
                            <w:r w:rsidRPr="004E516E">
                              <w:rPr>
                                <w:rFonts w:cs="Arial"/>
                                <w:szCs w:val="18"/>
                              </w:rPr>
                              <w:t xml:space="preserve">, </w:t>
                            </w:r>
                            <w:r w:rsidR="0031124D" w:rsidRPr="0031124D">
                              <w:rPr>
                                <w:rFonts w:eastAsiaTheme="minorEastAsia" w:cs="Arial"/>
                                <w:szCs w:val="18"/>
                                <w:lang w:eastAsia="en-GB"/>
                              </w:rPr>
                              <w:t>18.67%</w:t>
                            </w:r>
                            <w:r w:rsidRPr="004E516E">
                              <w:rPr>
                                <w:rFonts w:cs="Arial"/>
                                <w:szCs w:val="18"/>
                              </w:rPr>
                              <w:t xml:space="preserve"> of all deaths. The </w:t>
                            </w:r>
                            <w:r>
                              <w:rPr>
                                <w:rFonts w:cs="Arial"/>
                                <w:szCs w:val="18"/>
                              </w:rPr>
                              <w:t xml:space="preserve">Sustainable and Equitable Wellbeing index, that is, </w:t>
                            </w:r>
                            <w:r w:rsidRPr="004E516E">
                              <w:rPr>
                                <w:rFonts w:cs="Arial"/>
                                <w:szCs w:val="18"/>
                              </w:rPr>
                              <w:t xml:space="preserve">life expectancy at birth after deducting the damage on other countries through excess income (in the present generations) and through excess CO2 emissions (in the coming generations) stands today at </w:t>
                            </w:r>
                            <w:r w:rsidR="0031124D" w:rsidRPr="0031124D">
                              <w:rPr>
                                <w:rFonts w:eastAsiaTheme="minorEastAsia" w:cs="Arial"/>
                                <w:szCs w:val="18"/>
                                <w:lang w:eastAsia="en-GB"/>
                              </w:rPr>
                              <w:t>78.85</w:t>
                            </w:r>
                            <w:r w:rsidRPr="004E516E">
                              <w:rPr>
                                <w:rFonts w:cs="Arial"/>
                                <w:szCs w:val="18"/>
                              </w:rPr>
                              <w:t xml:space="preserve"> life years, and ranks </w:t>
                            </w:r>
                            <w:r w:rsidR="0031124D" w:rsidRPr="0031124D">
                              <w:rPr>
                                <w:rFonts w:eastAsiaTheme="minorEastAsia" w:cs="Arial"/>
                                <w:szCs w:val="18"/>
                                <w:lang w:eastAsia="en-GB"/>
                              </w:rPr>
                              <w:t>5</w:t>
                            </w:r>
                            <w:r>
                              <w:rPr>
                                <w:rFonts w:cs="Arial"/>
                                <w:szCs w:val="18"/>
                              </w:rPr>
                              <w:t xml:space="preserve"> in the worl</w:t>
                            </w:r>
                            <w:r w:rsidRPr="004E516E">
                              <w:rPr>
                                <w:rFonts w:cs="Arial"/>
                                <w:szCs w:val="18"/>
                              </w:rPr>
                              <w:t>d.</w:t>
                            </w:r>
                          </w:p>
                          <w:p w:rsidR="00A430C7" w:rsidRDefault="00A430C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0;margin-top:14.35pt;width:463.5pt;height:151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" fillcolor="#e7e6e6 [3214]">
                <v:textbox>
                  <w:txbxContent>
                    <w:p w:rsidR="00A430C7" w:rsidRDefault="00A430C7" w:rsidP="00AF4B75">
                      <w:pPr>
                        <w:widowControl w:val="0"/>
                        <w:spacing w:after="0"/>
                        <w:rPr>
                          <w:rFonts w:cs="Arial"/>
                          <w:szCs w:val="18"/>
                        </w:rPr>
                      </w:pPr>
                      <w:r w:rsidRPr="004E516E">
                        <w:rPr>
                          <w:rFonts w:cs="Arial"/>
                          <w:szCs w:val="18"/>
                        </w:rPr>
                        <w:t xml:space="preserve">In summary, the equity profile of </w:t>
                      </w:r>
                      <w:proofErr w:type="gramStart"/>
                      <w:r w:rsidR="0031124D" w:rsidRPr="0031124D">
                        <w:rPr>
                          <w:rFonts w:eastAsiaTheme="minorEastAsia" w:cs="Arial"/>
                          <w:szCs w:val="18"/>
                          <w:lang w:eastAsia="en-GB"/>
                        </w:rPr>
                        <w:t>Lebanon</w:t>
                      </w:r>
                      <w:r w:rsidRPr="004E516E">
                        <w:rPr>
                          <w:rFonts w:cs="Arial"/>
                          <w:szCs w:val="18"/>
                        </w:rPr>
                        <w:t>,</w:t>
                      </w:r>
                      <w:proofErr w:type="gramEnd"/>
                      <w:r w:rsidRPr="004E516E">
                        <w:rPr>
                          <w:rFonts w:cs="Arial"/>
                          <w:szCs w:val="18"/>
                        </w:rPr>
                        <w:t xml:space="preserve"> reveals that with </w:t>
                      </w:r>
                      <w:r w:rsidR="0031124D" w:rsidRPr="0031124D">
                        <w:rPr>
                          <w:rFonts w:eastAsiaTheme="minorEastAsia" w:cs="Arial"/>
                          <w:szCs w:val="18"/>
                          <w:lang w:eastAsia="en-GB"/>
                        </w:rPr>
                        <w:t>17%</w:t>
                      </w:r>
                      <w:r w:rsidRPr="004E516E">
                        <w:rPr>
                          <w:rFonts w:cs="Arial"/>
                          <w:szCs w:val="18"/>
                        </w:rPr>
                        <w:t xml:space="preserve"> of the world average bio capacity </w:t>
                      </w:r>
                      <w:proofErr w:type="spellStart"/>
                      <w:r w:rsidRPr="004E516E">
                        <w:rPr>
                          <w:rFonts w:cs="Arial"/>
                          <w:szCs w:val="18"/>
                        </w:rPr>
                        <w:t>pcy</w:t>
                      </w:r>
                      <w:proofErr w:type="spellEnd"/>
                      <w:r w:rsidRPr="004E516E">
                        <w:rPr>
                          <w:rFonts w:cs="Arial"/>
                          <w:szCs w:val="18"/>
                        </w:rPr>
                        <w:t xml:space="preserve">, its ecological footprint is </w:t>
                      </w:r>
                      <w:r w:rsidR="0031124D" w:rsidRPr="0031124D">
                        <w:rPr>
                          <w:rFonts w:eastAsiaTheme="minorEastAsia" w:cs="Arial"/>
                          <w:szCs w:val="18"/>
                          <w:lang w:eastAsia="en-GB"/>
                        </w:rPr>
                        <w:t>202%</w:t>
                      </w:r>
                      <w:r w:rsidRPr="004E516E">
                        <w:rPr>
                          <w:rFonts w:cs="Arial"/>
                          <w:szCs w:val="18"/>
                        </w:rPr>
                        <w:t xml:space="preserve"> of the global recycling threshold (</w:t>
                      </w:r>
                      <w:r w:rsidR="0031124D" w:rsidRPr="0031124D">
                        <w:rPr>
                          <w:rFonts w:eastAsiaTheme="minorEastAsia" w:cs="Arial"/>
                          <w:szCs w:val="18"/>
                          <w:lang w:eastAsia="en-GB"/>
                        </w:rPr>
                        <w:t>non-sustainable</w:t>
                      </w:r>
                      <w:r w:rsidRPr="004E516E">
                        <w:rPr>
                          <w:rFonts w:cs="Arial"/>
                          <w:szCs w:val="18"/>
                        </w:rPr>
                        <w:t xml:space="preserve">) and </w:t>
                      </w:r>
                      <w:r w:rsidR="0031124D" w:rsidRPr="0031124D">
                        <w:rPr>
                          <w:rFonts w:eastAsiaTheme="minorEastAsia" w:cs="Arial"/>
                          <w:iCs/>
                          <w:lang w:eastAsia="en-GB"/>
                        </w:rPr>
                        <w:t>also</w:t>
                      </w:r>
                      <w:r w:rsidRPr="00AF4B75">
                        <w:rPr>
                          <w:rFonts w:cs="Arial"/>
                          <w:szCs w:val="18"/>
                        </w:rPr>
                        <w:t xml:space="preserve"> </w:t>
                      </w:r>
                      <w:r w:rsidR="0031124D" w:rsidRPr="0031124D">
                        <w:rPr>
                          <w:rFonts w:eastAsiaTheme="minorEastAsia" w:cs="Arial"/>
                          <w:szCs w:val="18"/>
                          <w:lang w:eastAsia="en-GB"/>
                        </w:rPr>
                        <w:t>1159%</w:t>
                      </w:r>
                      <w:r w:rsidRPr="004E516E">
                        <w:rPr>
                          <w:rFonts w:cs="Arial"/>
                          <w:szCs w:val="18"/>
                        </w:rPr>
                        <w:t xml:space="preserve"> of its national recycling capacity (</w:t>
                      </w:r>
                      <w:r w:rsidR="0031124D" w:rsidRPr="0031124D">
                        <w:rPr>
                          <w:rFonts w:eastAsiaTheme="minorEastAsia" w:cs="Arial"/>
                          <w:szCs w:val="18"/>
                          <w:lang w:eastAsia="en-GB"/>
                        </w:rPr>
                        <w:t>non-sustainable</w:t>
                      </w:r>
                      <w:r w:rsidRPr="004E516E">
                        <w:rPr>
                          <w:rFonts w:cs="Arial"/>
                          <w:szCs w:val="18"/>
                        </w:rPr>
                        <w:t xml:space="preserve">). The level of CO2 emissions </w:t>
                      </w:r>
                      <w:proofErr w:type="spellStart"/>
                      <w:r w:rsidRPr="004E516E">
                        <w:rPr>
                          <w:rFonts w:cs="Arial"/>
                          <w:szCs w:val="18"/>
                        </w:rPr>
                        <w:t>pcy</w:t>
                      </w:r>
                      <w:proofErr w:type="spellEnd"/>
                      <w:r w:rsidRPr="004E516E">
                        <w:rPr>
                          <w:rFonts w:cs="Arial"/>
                          <w:szCs w:val="18"/>
                        </w:rPr>
                        <w:t xml:space="preserve"> is </w:t>
                      </w:r>
                      <w:r w:rsidR="0031124D" w:rsidRPr="0031124D">
                        <w:rPr>
                          <w:rFonts w:eastAsiaTheme="minorEastAsia" w:cs="Arial"/>
                          <w:szCs w:val="18"/>
                          <w:lang w:eastAsia="en-GB"/>
                        </w:rPr>
                        <w:t>234%</w:t>
                      </w:r>
                      <w:r w:rsidRPr="004E516E">
                        <w:rPr>
                          <w:rFonts w:cs="Arial"/>
                          <w:szCs w:val="18"/>
                        </w:rPr>
                        <w:t xml:space="preserve"> of the ethical threshold, therefore </w:t>
                      </w:r>
                      <w:r w:rsidR="0031124D" w:rsidRPr="0031124D">
                        <w:rPr>
                          <w:rFonts w:eastAsiaTheme="minorEastAsia" w:cs="Arial"/>
                          <w:szCs w:val="18"/>
                          <w:lang w:eastAsia="en-GB"/>
                        </w:rPr>
                        <w:t>contributing</w:t>
                      </w:r>
                      <w:r w:rsidR="0031124D" w:rsidRPr="0031124D">
                        <w:rPr>
                          <w:rFonts w:ascii="Calibri" w:eastAsiaTheme="minorEastAsia" w:hAnsi="Calibri" w:cs="Calibri"/>
                          <w:color w:val="000000"/>
                          <w:sz w:val="22"/>
                          <w:lang w:eastAsia="en-GB"/>
                        </w:rPr>
                        <w:t xml:space="preserve"> to</w:t>
                      </w:r>
                      <w:r w:rsidRPr="004E516E">
                        <w:rPr>
                          <w:rFonts w:cs="Arial"/>
                          <w:szCs w:val="18"/>
                        </w:rPr>
                        <w:t xml:space="preserve"> global warming. </w:t>
                      </w:r>
                      <w:proofErr w:type="gramStart"/>
                      <w:r w:rsidR="0031124D" w:rsidRPr="0031124D">
                        <w:rPr>
                          <w:rFonts w:eastAsiaTheme="minorEastAsia" w:cs="Arial"/>
                          <w:szCs w:val="18"/>
                          <w:lang w:eastAsia="en-GB"/>
                        </w:rPr>
                        <w:t>Lebanon</w:t>
                      </w:r>
                      <w:r>
                        <w:rPr>
                          <w:rFonts w:cs="Arial"/>
                          <w:szCs w:val="18"/>
                        </w:rPr>
                        <w:t xml:space="preserve"> </w:t>
                      </w:r>
                      <w:r w:rsidRPr="004E516E">
                        <w:rPr>
                          <w:rFonts w:cs="Arial"/>
                          <w:szCs w:val="18"/>
                        </w:rPr>
                        <w:t>’s</w:t>
                      </w:r>
                      <w:proofErr w:type="gramEnd"/>
                      <w:r w:rsidRPr="004E516E">
                        <w:rPr>
                          <w:rFonts w:cs="Arial"/>
                          <w:szCs w:val="18"/>
                        </w:rPr>
                        <w:t xml:space="preserve"> GDP CV pc is </w:t>
                      </w:r>
                      <w:r w:rsidR="0031124D" w:rsidRPr="0031124D">
                        <w:rPr>
                          <w:rFonts w:eastAsiaTheme="minorEastAsia" w:cs="Arial"/>
                          <w:szCs w:val="18"/>
                          <w:lang w:eastAsia="en-GB"/>
                        </w:rPr>
                        <w:t>70%</w:t>
                      </w:r>
                      <w:r w:rsidRPr="004E516E">
                        <w:rPr>
                          <w:rFonts w:cs="Arial"/>
                          <w:szCs w:val="18"/>
                        </w:rPr>
                        <w:t xml:space="preserve"> of the international average and </w:t>
                      </w:r>
                      <w:r w:rsidR="0031124D" w:rsidRPr="0031124D">
                        <w:rPr>
                          <w:rFonts w:eastAsiaTheme="minorEastAsia" w:cs="Arial"/>
                          <w:szCs w:val="18"/>
                          <w:lang w:eastAsia="en-GB"/>
                        </w:rPr>
                        <w:t>196%</w:t>
                      </w:r>
                      <w:r w:rsidRPr="004E516E">
                        <w:rPr>
                          <w:rFonts w:cs="Arial"/>
                          <w:szCs w:val="18"/>
                        </w:rPr>
                        <w:t xml:space="preserve"> of the HRS reference. Life expectancy is </w:t>
                      </w:r>
                      <w:r w:rsidR="0031124D" w:rsidRPr="0031124D">
                        <w:rPr>
                          <w:rFonts w:eastAsiaTheme="minorEastAsia" w:cs="Arial"/>
                          <w:szCs w:val="18"/>
                          <w:lang w:eastAsia="en-GB"/>
                        </w:rPr>
                        <w:t>6.40</w:t>
                      </w:r>
                      <w:r w:rsidRPr="004E516E">
                        <w:rPr>
                          <w:rFonts w:cs="Arial"/>
                          <w:szCs w:val="18"/>
                        </w:rPr>
                        <w:t xml:space="preserve"> years </w:t>
                      </w:r>
                      <w:r w:rsidR="0031124D" w:rsidRPr="0031124D">
                        <w:rPr>
                          <w:rFonts w:eastAsiaTheme="minorEastAsia" w:cs="Arial"/>
                          <w:szCs w:val="18"/>
                          <w:lang w:eastAsia="en-GB"/>
                        </w:rPr>
                        <w:t>above</w:t>
                      </w:r>
                      <w:r w:rsidRPr="004E516E">
                        <w:rPr>
                          <w:rFonts w:cs="Arial"/>
                          <w:szCs w:val="18"/>
                        </w:rPr>
                        <w:t xml:space="preserve"> the international average (</w:t>
                      </w:r>
                      <w:r w:rsidR="0031124D" w:rsidRPr="0031124D">
                        <w:rPr>
                          <w:rFonts w:eastAsiaTheme="minorEastAsia" w:cs="Arial"/>
                          <w:szCs w:val="18"/>
                          <w:lang w:eastAsia="en-GB"/>
                        </w:rPr>
                        <w:t>6.10</w:t>
                      </w:r>
                      <w:r w:rsidRPr="004E516E">
                        <w:rPr>
                          <w:rFonts w:cs="Arial"/>
                          <w:szCs w:val="18"/>
                        </w:rPr>
                        <w:t xml:space="preserve"> in women and </w:t>
                      </w:r>
                      <w:r w:rsidR="0031124D" w:rsidRPr="0031124D">
                        <w:rPr>
                          <w:rFonts w:eastAsiaTheme="minorEastAsia" w:cs="Arial"/>
                          <w:szCs w:val="18"/>
                          <w:lang w:eastAsia="en-GB"/>
                        </w:rPr>
                        <w:t>6.70</w:t>
                      </w:r>
                      <w:r w:rsidRPr="004E516E">
                        <w:rPr>
                          <w:rFonts w:cs="Arial"/>
                          <w:szCs w:val="18"/>
                        </w:rPr>
                        <w:t xml:space="preserve"> </w:t>
                      </w:r>
                      <w:r w:rsidR="0031124D" w:rsidRPr="0031124D">
                        <w:rPr>
                          <w:rFonts w:eastAsiaTheme="minorEastAsia" w:cs="Arial"/>
                          <w:szCs w:val="18"/>
                          <w:lang w:eastAsia="en-GB"/>
                        </w:rPr>
                        <w:t>above</w:t>
                      </w:r>
                      <w:r w:rsidRPr="004E516E">
                        <w:rPr>
                          <w:rFonts w:cs="Arial"/>
                          <w:szCs w:val="18"/>
                        </w:rPr>
                        <w:t xml:space="preserve"> in men) with a proportional sex difference of </w:t>
                      </w:r>
                      <w:r w:rsidR="0031124D" w:rsidRPr="0031124D">
                        <w:rPr>
                          <w:rFonts w:eastAsiaTheme="minorEastAsia" w:cs="Arial"/>
                          <w:szCs w:val="18"/>
                          <w:lang w:eastAsia="en-GB"/>
                        </w:rPr>
                        <w:t>4.81%</w:t>
                      </w:r>
                      <w:r w:rsidRPr="004E516E">
                        <w:rPr>
                          <w:rFonts w:cs="Arial"/>
                          <w:szCs w:val="18"/>
                        </w:rPr>
                        <w:t xml:space="preserve"> higher in women, </w:t>
                      </w:r>
                      <w:r w:rsidR="0031124D" w:rsidRPr="0031124D">
                        <w:rPr>
                          <w:rFonts w:eastAsiaTheme="minorEastAsia" w:cs="Arial"/>
                          <w:szCs w:val="18"/>
                          <w:lang w:eastAsia="en-GB"/>
                        </w:rPr>
                        <w:t>lower</w:t>
                      </w:r>
                      <w:r w:rsidRPr="004E516E">
                        <w:rPr>
                          <w:rFonts w:cs="Arial"/>
                          <w:szCs w:val="18"/>
                        </w:rPr>
                        <w:t xml:space="preserve"> than the world’s average. The present annual excess mortality in </w:t>
                      </w:r>
                      <w:r w:rsidR="0031124D" w:rsidRPr="0031124D">
                        <w:rPr>
                          <w:rFonts w:eastAsiaTheme="minorEastAsia" w:cs="Arial"/>
                          <w:szCs w:val="18"/>
                          <w:lang w:eastAsia="en-GB"/>
                        </w:rPr>
                        <w:t>Lebanon</w:t>
                      </w:r>
                      <w:r w:rsidRPr="004E516E">
                        <w:rPr>
                          <w:rFonts w:cs="Arial"/>
                          <w:szCs w:val="18"/>
                        </w:rPr>
                        <w:t xml:space="preserve">, in relation to HRS reference (feasible for all), is of </w:t>
                      </w:r>
                      <w:r w:rsidR="0031124D" w:rsidRPr="0031124D">
                        <w:rPr>
                          <w:rFonts w:eastAsiaTheme="minorEastAsia" w:cs="Arial"/>
                          <w:szCs w:val="18"/>
                          <w:lang w:eastAsia="en-GB"/>
                        </w:rPr>
                        <w:t>566</w:t>
                      </w:r>
                      <w:r w:rsidRPr="004E516E">
                        <w:rPr>
                          <w:rFonts w:cs="Arial"/>
                          <w:szCs w:val="18"/>
                        </w:rPr>
                        <w:t xml:space="preserve"> (</w:t>
                      </w:r>
                      <w:r w:rsidR="0031124D" w:rsidRPr="0031124D">
                        <w:rPr>
                          <w:rFonts w:eastAsiaTheme="minorEastAsia" w:cs="Arial"/>
                          <w:szCs w:val="18"/>
                          <w:lang w:eastAsia="en-GB"/>
                        </w:rPr>
                        <w:t>249</w:t>
                      </w:r>
                      <w:r w:rsidRPr="004E516E">
                        <w:rPr>
                          <w:rFonts w:cs="Arial"/>
                          <w:szCs w:val="18"/>
                        </w:rPr>
                        <w:t xml:space="preserve"> in women and </w:t>
                      </w:r>
                      <w:r w:rsidR="0031124D" w:rsidRPr="0031124D">
                        <w:rPr>
                          <w:rFonts w:eastAsiaTheme="minorEastAsia" w:cs="Arial"/>
                          <w:szCs w:val="18"/>
                          <w:lang w:eastAsia="en-GB"/>
                        </w:rPr>
                        <w:t>317</w:t>
                      </w:r>
                      <w:r w:rsidRPr="004E516E">
                        <w:rPr>
                          <w:rFonts w:cs="Arial"/>
                          <w:szCs w:val="18"/>
                        </w:rPr>
                        <w:t xml:space="preserve"> in men), meaning </w:t>
                      </w:r>
                      <w:r w:rsidR="0031124D" w:rsidRPr="0031124D">
                        <w:rPr>
                          <w:rFonts w:eastAsiaTheme="minorEastAsia" w:cs="Arial"/>
                          <w:szCs w:val="18"/>
                          <w:lang w:eastAsia="en-GB"/>
                        </w:rPr>
                        <w:t>1.96%</w:t>
                      </w:r>
                      <w:r>
                        <w:rPr>
                          <w:rFonts w:cs="Arial"/>
                          <w:szCs w:val="18"/>
                        </w:rPr>
                        <w:t xml:space="preserve"> </w:t>
                      </w:r>
                      <w:r w:rsidRPr="004E516E">
                        <w:rPr>
                          <w:rFonts w:cs="Arial"/>
                          <w:szCs w:val="18"/>
                        </w:rPr>
                        <w:t>of all deaths (</w:t>
                      </w:r>
                      <w:r w:rsidR="0031124D" w:rsidRPr="0031124D">
                        <w:rPr>
                          <w:rFonts w:eastAsiaTheme="minorEastAsia" w:cs="Arial"/>
                          <w:szCs w:val="18"/>
                          <w:lang w:eastAsia="en-GB"/>
                        </w:rPr>
                        <w:t>1.94%</w:t>
                      </w:r>
                      <w:r w:rsidRPr="004E516E">
                        <w:rPr>
                          <w:rFonts w:cs="Arial"/>
                          <w:szCs w:val="18"/>
                        </w:rPr>
                        <w:t xml:space="preserve"> in women and </w:t>
                      </w:r>
                      <w:r w:rsidR="0031124D" w:rsidRPr="0031124D">
                        <w:rPr>
                          <w:rFonts w:eastAsiaTheme="minorEastAsia" w:cs="Arial"/>
                          <w:szCs w:val="18"/>
                          <w:lang w:eastAsia="en-GB"/>
                        </w:rPr>
                        <w:t>1.99%</w:t>
                      </w:r>
                      <w:r w:rsidRPr="004E516E">
                        <w:rPr>
                          <w:rFonts w:cs="Arial"/>
                          <w:szCs w:val="18"/>
                        </w:rPr>
                        <w:t xml:space="preserve"> in men). When compared with the best level of sustainable and equitable wellbeing, the present annual excess mortality rises to </w:t>
                      </w:r>
                      <w:r w:rsidR="0031124D" w:rsidRPr="0031124D">
                        <w:rPr>
                          <w:rFonts w:eastAsiaTheme="minorEastAsia" w:cs="Arial"/>
                          <w:szCs w:val="18"/>
                          <w:lang w:eastAsia="en-GB"/>
                        </w:rPr>
                        <w:t>5371</w:t>
                      </w:r>
                      <w:r w:rsidRPr="004E516E">
                        <w:rPr>
                          <w:rFonts w:cs="Arial"/>
                          <w:szCs w:val="18"/>
                        </w:rPr>
                        <w:t xml:space="preserve">, </w:t>
                      </w:r>
                      <w:r w:rsidR="0031124D" w:rsidRPr="0031124D">
                        <w:rPr>
                          <w:rFonts w:eastAsiaTheme="minorEastAsia" w:cs="Arial"/>
                          <w:szCs w:val="18"/>
                          <w:lang w:eastAsia="en-GB"/>
                        </w:rPr>
                        <w:t>18.67%</w:t>
                      </w:r>
                      <w:r w:rsidRPr="004E516E">
                        <w:rPr>
                          <w:rFonts w:cs="Arial"/>
                          <w:szCs w:val="18"/>
                        </w:rPr>
                        <w:t xml:space="preserve"> of all deaths. The </w:t>
                      </w:r>
                      <w:r>
                        <w:rPr>
                          <w:rFonts w:cs="Arial"/>
                          <w:szCs w:val="18"/>
                        </w:rPr>
                        <w:t xml:space="preserve">Sustainable and Equitable Wellbeing index, that is, </w:t>
                      </w:r>
                      <w:r w:rsidRPr="004E516E">
                        <w:rPr>
                          <w:rFonts w:cs="Arial"/>
                          <w:szCs w:val="18"/>
                        </w:rPr>
                        <w:t xml:space="preserve">life expectancy at birth after deducting the damage on other countries through excess income (in the present generations) and through excess CO2 emissions (in the coming generations) stands today at </w:t>
                      </w:r>
                      <w:r w:rsidR="0031124D" w:rsidRPr="0031124D">
                        <w:rPr>
                          <w:rFonts w:eastAsiaTheme="minorEastAsia" w:cs="Arial"/>
                          <w:szCs w:val="18"/>
                          <w:lang w:eastAsia="en-GB"/>
                        </w:rPr>
                        <w:t>78.85</w:t>
                      </w:r>
                      <w:r w:rsidRPr="004E516E">
                        <w:rPr>
                          <w:rFonts w:cs="Arial"/>
                          <w:szCs w:val="18"/>
                        </w:rPr>
                        <w:t xml:space="preserve"> life years, and ranks </w:t>
                      </w:r>
                      <w:r w:rsidR="0031124D" w:rsidRPr="0031124D">
                        <w:rPr>
                          <w:rFonts w:eastAsiaTheme="minorEastAsia" w:cs="Arial"/>
                          <w:szCs w:val="18"/>
                          <w:lang w:eastAsia="en-GB"/>
                        </w:rPr>
                        <w:t>5</w:t>
                      </w:r>
                      <w:r>
                        <w:rPr>
                          <w:rFonts w:cs="Arial"/>
                          <w:szCs w:val="18"/>
                        </w:rPr>
                        <w:t xml:space="preserve"> in the worl</w:t>
                      </w:r>
                      <w:r w:rsidRPr="004E516E">
                        <w:rPr>
                          <w:rFonts w:cs="Arial"/>
                          <w:szCs w:val="18"/>
                        </w:rPr>
                        <w:t>d.</w:t>
                      </w:r>
                    </w:p>
                    <w:p w:rsidR="00A430C7" w:rsidRDefault="00A430C7"/>
                  </w:txbxContent>
                </v:textbox>
                <w10:wrap type="square" anchorx="margin"/>
              </v:shape>
            </w:pict>
          </mc:Fallback>
        </mc:AlternateContent>
      </w:r>
    </w:p>
    <w:p w:rsidR="00AF4B75" w:rsidRDefault="00AF4B75" w:rsidP="004E516E">
      <w:pPr>
        <w:spacing w:after="0"/>
        <w:rPr>
          <w:rFonts w:cs="Arial"/>
          <w:szCs w:val="18"/>
        </w:rPr>
      </w:pPr>
    </w:p>
    <w:p w:rsidR="00AF4B75" w:rsidRDefault="00AF4B75" w:rsidP="004E516E">
      <w:pPr>
        <w:spacing w:after="0"/>
        <w:rPr>
          <w:rFonts w:cs="Arial"/>
          <w:szCs w:val="18"/>
        </w:rPr>
      </w:pPr>
    </w:p>
    <w:p w:rsidR="00AF4B75" w:rsidRDefault="00AF4B75" w:rsidP="004E516E">
      <w:pPr>
        <w:spacing w:after="0"/>
        <w:rPr>
          <w:rFonts w:cs="Arial"/>
          <w:szCs w:val="18"/>
        </w:rPr>
      </w:pPr>
    </w:p>
    <w:p w:rsidR="007B32CA" w:rsidRDefault="007B32CA">
      <w:pPr>
        <w:rPr>
          <w:rFonts w:cs="Arial"/>
          <w:szCs w:val="18"/>
        </w:rPr>
      </w:pPr>
    </w:p>
    <w:p w:rsidR="007B32CA" w:rsidRPr="00E963F0" w:rsidRDefault="007B32CA"/>
    <w:sectPr w:rsidR="007B32CA" w:rsidRPr="00E963F0" w:rsidSect="009C7BD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7772" w:rsidRDefault="00847772" w:rsidP="00132816">
      <w:pPr>
        <w:spacing w:after="0" w:line="240" w:lineRule="auto"/>
      </w:pPr>
      <w:r>
        <w:separator/>
      </w:r>
    </w:p>
  </w:endnote>
  <w:endnote w:type="continuationSeparator" w:id="0">
    <w:p w:rsidR="00847772" w:rsidRDefault="00847772" w:rsidP="00132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7772" w:rsidRDefault="00847772" w:rsidP="00132816">
      <w:pPr>
        <w:spacing w:after="0" w:line="240" w:lineRule="auto"/>
      </w:pPr>
      <w:r>
        <w:separator/>
      </w:r>
    </w:p>
  </w:footnote>
  <w:footnote w:type="continuationSeparator" w:id="0">
    <w:p w:rsidR="00847772" w:rsidRDefault="00847772" w:rsidP="00132816">
      <w:pPr>
        <w:spacing w:after="0" w:line="240" w:lineRule="auto"/>
      </w:pPr>
      <w:r>
        <w:continuationSeparator/>
      </w:r>
    </w:p>
  </w:footnote>
  <w:footnote w:id="1">
    <w:p w:rsidR="00A430C7" w:rsidRPr="007754E9" w:rsidRDefault="00A430C7"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https://www.sciencedirect.com/science/article/pii/S0033350617301610</w:t>
      </w:r>
    </w:p>
  </w:footnote>
  <w:footnote w:id="2">
    <w:p w:rsidR="00A430C7" w:rsidRPr="007754E9" w:rsidRDefault="00A430C7"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https://oxfordre.com/publichealth/view/10.1093/acrefore/9780190632366.001.0001/acrefore-9780190632366-e-62?rskey=fNaAhA&amp;result=2</w:t>
      </w:r>
    </w:p>
  </w:footnote>
  <w:footnote w:id="3">
    <w:p w:rsidR="00A430C7" w:rsidRPr="00DD01AF" w:rsidRDefault="00A430C7" w:rsidP="00A73A23">
      <w:pPr>
        <w:pStyle w:val="FootnoteText"/>
        <w:rPr>
          <w:rFonts w:cs="Arial"/>
          <w:sz w:val="16"/>
        </w:rPr>
      </w:pPr>
      <w:r w:rsidRPr="007754E9">
        <w:rPr>
          <w:rStyle w:val="FootnoteReference"/>
          <w:rFonts w:cs="Arial"/>
          <w:sz w:val="16"/>
        </w:rPr>
        <w:footnoteRef/>
      </w:r>
      <w:r w:rsidRPr="007754E9">
        <w:rPr>
          <w:rFonts w:cs="Arial"/>
          <w:sz w:val="16"/>
        </w:rPr>
        <w:t xml:space="preserve"> http://www.peah.it/2021/04/9658/</w:t>
      </w:r>
    </w:p>
  </w:footnote>
  <w:footnote w:id="4">
    <w:p w:rsidR="00A430C7" w:rsidRPr="007754E9" w:rsidRDefault="00A430C7" w:rsidP="00A73A23">
      <w:pPr>
        <w:pStyle w:val="FootnoteText"/>
        <w:rPr>
          <w:rFonts w:cs="Arial"/>
        </w:rPr>
      </w:pPr>
      <w:r w:rsidRPr="007754E9">
        <w:rPr>
          <w:rStyle w:val="FootnoteReference"/>
          <w:rFonts w:cs="Arial"/>
          <w:sz w:val="16"/>
        </w:rPr>
        <w:footnoteRef/>
      </w:r>
      <w:r w:rsidRPr="007754E9">
        <w:rPr>
          <w:rFonts w:cs="Arial"/>
          <w:sz w:val="16"/>
        </w:rPr>
        <w:t xml:space="preserve"> From 1960-2010 the countries which met all criteria constantly were Albania, Armenia, Belize, Colombia, Costa Rica, Cuba, Grenada, Saint Lucia, Saint Vincent, Georgia, Paraguay, Sri Lanka, Tonga and Vietnam, from 1960-2015 they were reduced to Armenia, Colombia, Costa Rica, Paraguay, Sri- Lanka and Tonga and from 1960-2020 only Sri Lanka remains.</w:t>
      </w:r>
    </w:p>
  </w:footnote>
  <w:footnote w:id="5">
    <w:p w:rsidR="00A430C7" w:rsidRPr="007754E9" w:rsidRDefault="00A430C7" w:rsidP="00A73A23">
      <w:pPr>
        <w:pStyle w:val="FootnoteText"/>
      </w:pPr>
      <w:r w:rsidRPr="007754E9">
        <w:rPr>
          <w:rStyle w:val="FootnoteReference"/>
          <w:rFonts w:cs="Arial"/>
        </w:rPr>
        <w:footnoteRef/>
      </w:r>
      <w:r w:rsidRPr="007754E9">
        <w:rPr>
          <w:rFonts w:cs="Arial"/>
        </w:rPr>
        <w:t xml:space="preserve"> </w:t>
      </w:r>
      <w:r w:rsidRPr="007754E9">
        <w:rPr>
          <w:rFonts w:cs="Arial"/>
          <w:sz w:val="16"/>
          <w:szCs w:val="18"/>
        </w:rPr>
        <w:t>The country with best SEW index, within the equity curve</w:t>
      </w:r>
      <w:r>
        <w:rPr>
          <w:rFonts w:cs="Arial"/>
          <w:sz w:val="16"/>
          <w:szCs w:val="18"/>
        </w:rPr>
        <w:t xml:space="preserve"> is Costa Rica.</w:t>
      </w:r>
    </w:p>
  </w:footnote>
  <w:footnote w:id="6">
    <w:p w:rsidR="00A430C7" w:rsidRPr="00FF618F" w:rsidRDefault="00A430C7">
      <w:pPr>
        <w:pStyle w:val="FootnoteText"/>
        <w:rPr>
          <w:rFonts w:cs="Arial"/>
          <w:sz w:val="14"/>
          <w:szCs w:val="14"/>
        </w:rPr>
      </w:pPr>
      <w:r w:rsidRPr="00FF618F">
        <w:rPr>
          <w:rStyle w:val="FootnoteReference"/>
          <w:sz w:val="14"/>
          <w:szCs w:val="14"/>
        </w:rPr>
        <w:footnoteRef/>
      </w:r>
      <w:r w:rsidRPr="00FF618F">
        <w:rPr>
          <w:sz w:val="14"/>
          <w:szCs w:val="14"/>
        </w:rPr>
        <w:t xml:space="preserve"> </w:t>
      </w:r>
      <w:hyperlink r:id="rId1" w:history="1">
        <w:r w:rsidRPr="00FF618F">
          <w:rPr>
            <w:rStyle w:val="Hyperlink"/>
            <w:rFonts w:cs="Arial"/>
            <w:sz w:val="14"/>
            <w:szCs w:val="14"/>
          </w:rPr>
          <w:t>http://www.peah.it/2021/04/9658/</w:t>
        </w:r>
      </w:hyperlink>
    </w:p>
  </w:footnote>
  <w:footnote w:id="7">
    <w:p w:rsidR="00A430C7" w:rsidRPr="00FF618F" w:rsidRDefault="00A430C7">
      <w:pPr>
        <w:pStyle w:val="FootnoteText"/>
        <w:rPr>
          <w:sz w:val="14"/>
          <w:szCs w:val="14"/>
        </w:rPr>
      </w:pPr>
      <w:r w:rsidRPr="00FF618F">
        <w:rPr>
          <w:rStyle w:val="FootnoteReference"/>
          <w:sz w:val="14"/>
          <w:szCs w:val="14"/>
        </w:rPr>
        <w:footnoteRef/>
      </w:r>
      <w:r w:rsidRPr="00FF618F">
        <w:rPr>
          <w:sz w:val="14"/>
          <w:szCs w:val="14"/>
        </w:rPr>
        <w:t xml:space="preserve"> </w:t>
      </w:r>
      <w:hyperlink r:id="rId2" w:history="1">
        <w:r w:rsidRPr="00FF618F">
          <w:rPr>
            <w:rStyle w:val="Hyperlink"/>
            <w:sz w:val="14"/>
            <w:szCs w:val="14"/>
          </w:rPr>
          <w:t>http://www.peah.it/2018/07/5498/</w:t>
        </w:r>
      </w:hyperlink>
    </w:p>
    <w:p w:rsidR="00A430C7" w:rsidRDefault="00A430C7">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DE2A9F"/>
    <w:rsid w:val="000169D1"/>
    <w:rsid w:val="00021BB5"/>
    <w:rsid w:val="00041B08"/>
    <w:rsid w:val="00042F07"/>
    <w:rsid w:val="00057C4B"/>
    <w:rsid w:val="000B4F35"/>
    <w:rsid w:val="000C2265"/>
    <w:rsid w:val="000D6D3C"/>
    <w:rsid w:val="000E0F4B"/>
    <w:rsid w:val="000F3995"/>
    <w:rsid w:val="00101764"/>
    <w:rsid w:val="00111F03"/>
    <w:rsid w:val="00115306"/>
    <w:rsid w:val="00117BA2"/>
    <w:rsid w:val="00132816"/>
    <w:rsid w:val="00140BB3"/>
    <w:rsid w:val="00166739"/>
    <w:rsid w:val="00172B87"/>
    <w:rsid w:val="00182CE6"/>
    <w:rsid w:val="0018380D"/>
    <w:rsid w:val="001B0213"/>
    <w:rsid w:val="001B045D"/>
    <w:rsid w:val="001B1D52"/>
    <w:rsid w:val="001B4565"/>
    <w:rsid w:val="001D7ED7"/>
    <w:rsid w:val="001F5C7A"/>
    <w:rsid w:val="0022280C"/>
    <w:rsid w:val="00230930"/>
    <w:rsid w:val="00247AE4"/>
    <w:rsid w:val="00251CC5"/>
    <w:rsid w:val="002809ED"/>
    <w:rsid w:val="00292039"/>
    <w:rsid w:val="002A0164"/>
    <w:rsid w:val="002D556A"/>
    <w:rsid w:val="00310104"/>
    <w:rsid w:val="0031124D"/>
    <w:rsid w:val="0031132B"/>
    <w:rsid w:val="003330BF"/>
    <w:rsid w:val="00357BDA"/>
    <w:rsid w:val="00361B8A"/>
    <w:rsid w:val="00362EE5"/>
    <w:rsid w:val="00370D01"/>
    <w:rsid w:val="00377557"/>
    <w:rsid w:val="003866CB"/>
    <w:rsid w:val="003B32B1"/>
    <w:rsid w:val="003C30ED"/>
    <w:rsid w:val="003C7F9A"/>
    <w:rsid w:val="003D5845"/>
    <w:rsid w:val="0040139C"/>
    <w:rsid w:val="00401459"/>
    <w:rsid w:val="004070D3"/>
    <w:rsid w:val="00416CBE"/>
    <w:rsid w:val="00435A00"/>
    <w:rsid w:val="004607FC"/>
    <w:rsid w:val="004625DF"/>
    <w:rsid w:val="004728CB"/>
    <w:rsid w:val="004856C3"/>
    <w:rsid w:val="004948C5"/>
    <w:rsid w:val="004B0385"/>
    <w:rsid w:val="004B6DAE"/>
    <w:rsid w:val="004C7C3C"/>
    <w:rsid w:val="004D3003"/>
    <w:rsid w:val="004E1379"/>
    <w:rsid w:val="004E516E"/>
    <w:rsid w:val="004E6A08"/>
    <w:rsid w:val="00504C4E"/>
    <w:rsid w:val="00516B66"/>
    <w:rsid w:val="005308ED"/>
    <w:rsid w:val="0054581B"/>
    <w:rsid w:val="00550B0F"/>
    <w:rsid w:val="00570F2A"/>
    <w:rsid w:val="005874CA"/>
    <w:rsid w:val="005876FD"/>
    <w:rsid w:val="00597E52"/>
    <w:rsid w:val="005B3AC9"/>
    <w:rsid w:val="005C365D"/>
    <w:rsid w:val="005C4322"/>
    <w:rsid w:val="005C4DF7"/>
    <w:rsid w:val="005C783F"/>
    <w:rsid w:val="005D1211"/>
    <w:rsid w:val="005D78C1"/>
    <w:rsid w:val="005F435B"/>
    <w:rsid w:val="005F6310"/>
    <w:rsid w:val="0060009F"/>
    <w:rsid w:val="00605365"/>
    <w:rsid w:val="00607565"/>
    <w:rsid w:val="00636F55"/>
    <w:rsid w:val="00646F67"/>
    <w:rsid w:val="00647314"/>
    <w:rsid w:val="00660B6E"/>
    <w:rsid w:val="00691D14"/>
    <w:rsid w:val="006937B4"/>
    <w:rsid w:val="00697F5B"/>
    <w:rsid w:val="006A049C"/>
    <w:rsid w:val="006B4C7E"/>
    <w:rsid w:val="006B541A"/>
    <w:rsid w:val="006B5A81"/>
    <w:rsid w:val="006C4365"/>
    <w:rsid w:val="00714D31"/>
    <w:rsid w:val="0071566C"/>
    <w:rsid w:val="00740091"/>
    <w:rsid w:val="007463B8"/>
    <w:rsid w:val="00766D23"/>
    <w:rsid w:val="007754E9"/>
    <w:rsid w:val="007767E5"/>
    <w:rsid w:val="007B0146"/>
    <w:rsid w:val="007B32CA"/>
    <w:rsid w:val="007C2375"/>
    <w:rsid w:val="007C2EBD"/>
    <w:rsid w:val="007E52F6"/>
    <w:rsid w:val="007E5F17"/>
    <w:rsid w:val="00805B89"/>
    <w:rsid w:val="008224FD"/>
    <w:rsid w:val="00847772"/>
    <w:rsid w:val="00853993"/>
    <w:rsid w:val="008C77F0"/>
    <w:rsid w:val="008E462D"/>
    <w:rsid w:val="008E76BB"/>
    <w:rsid w:val="00907D25"/>
    <w:rsid w:val="0091495E"/>
    <w:rsid w:val="00915004"/>
    <w:rsid w:val="009251FF"/>
    <w:rsid w:val="00931886"/>
    <w:rsid w:val="0093577B"/>
    <w:rsid w:val="0095334C"/>
    <w:rsid w:val="0098245A"/>
    <w:rsid w:val="00990A04"/>
    <w:rsid w:val="009A1C73"/>
    <w:rsid w:val="009B5073"/>
    <w:rsid w:val="009C7BD3"/>
    <w:rsid w:val="009E51E2"/>
    <w:rsid w:val="00A06595"/>
    <w:rsid w:val="00A27598"/>
    <w:rsid w:val="00A421B4"/>
    <w:rsid w:val="00A430C7"/>
    <w:rsid w:val="00A54F6E"/>
    <w:rsid w:val="00A662FA"/>
    <w:rsid w:val="00A663E5"/>
    <w:rsid w:val="00A73A23"/>
    <w:rsid w:val="00A73BF0"/>
    <w:rsid w:val="00A7433A"/>
    <w:rsid w:val="00A82EF0"/>
    <w:rsid w:val="00A87F21"/>
    <w:rsid w:val="00A9445E"/>
    <w:rsid w:val="00A94922"/>
    <w:rsid w:val="00AA3EC2"/>
    <w:rsid w:val="00AD744D"/>
    <w:rsid w:val="00AF4B75"/>
    <w:rsid w:val="00B24639"/>
    <w:rsid w:val="00B418EB"/>
    <w:rsid w:val="00B67D87"/>
    <w:rsid w:val="00B7181C"/>
    <w:rsid w:val="00B86CD0"/>
    <w:rsid w:val="00B871B1"/>
    <w:rsid w:val="00BA3D4A"/>
    <w:rsid w:val="00BA74EF"/>
    <w:rsid w:val="00BB1CDC"/>
    <w:rsid w:val="00BC0230"/>
    <w:rsid w:val="00BD249A"/>
    <w:rsid w:val="00BE18C1"/>
    <w:rsid w:val="00BE4F85"/>
    <w:rsid w:val="00BF4F98"/>
    <w:rsid w:val="00C02840"/>
    <w:rsid w:val="00C03058"/>
    <w:rsid w:val="00C100D2"/>
    <w:rsid w:val="00C101FE"/>
    <w:rsid w:val="00C148B4"/>
    <w:rsid w:val="00C1746B"/>
    <w:rsid w:val="00C17B63"/>
    <w:rsid w:val="00C35543"/>
    <w:rsid w:val="00C443DA"/>
    <w:rsid w:val="00C47026"/>
    <w:rsid w:val="00C55C50"/>
    <w:rsid w:val="00C7100F"/>
    <w:rsid w:val="00C71410"/>
    <w:rsid w:val="00C8195B"/>
    <w:rsid w:val="00CC316C"/>
    <w:rsid w:val="00CD31B8"/>
    <w:rsid w:val="00CD72DD"/>
    <w:rsid w:val="00CE3312"/>
    <w:rsid w:val="00CE7059"/>
    <w:rsid w:val="00CF3A68"/>
    <w:rsid w:val="00CF7B86"/>
    <w:rsid w:val="00D15356"/>
    <w:rsid w:val="00D71805"/>
    <w:rsid w:val="00D84192"/>
    <w:rsid w:val="00D90AA8"/>
    <w:rsid w:val="00D93572"/>
    <w:rsid w:val="00DD01AF"/>
    <w:rsid w:val="00DE1D9F"/>
    <w:rsid w:val="00DE2A9F"/>
    <w:rsid w:val="00DF2BD4"/>
    <w:rsid w:val="00E057E8"/>
    <w:rsid w:val="00E2114C"/>
    <w:rsid w:val="00E24629"/>
    <w:rsid w:val="00E41943"/>
    <w:rsid w:val="00E51B79"/>
    <w:rsid w:val="00E5546B"/>
    <w:rsid w:val="00E60FF0"/>
    <w:rsid w:val="00E63163"/>
    <w:rsid w:val="00E6469C"/>
    <w:rsid w:val="00E819B4"/>
    <w:rsid w:val="00E963F0"/>
    <w:rsid w:val="00EA013D"/>
    <w:rsid w:val="00EB1DC5"/>
    <w:rsid w:val="00EB2495"/>
    <w:rsid w:val="00EB78B7"/>
    <w:rsid w:val="00EC579A"/>
    <w:rsid w:val="00EC6F6B"/>
    <w:rsid w:val="00EE217B"/>
    <w:rsid w:val="00F13C16"/>
    <w:rsid w:val="00F15F93"/>
    <w:rsid w:val="00F25DA9"/>
    <w:rsid w:val="00F340F0"/>
    <w:rsid w:val="00F42602"/>
    <w:rsid w:val="00F43758"/>
    <w:rsid w:val="00FF30DC"/>
    <w:rsid w:val="00FF61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01" fill="f" fillcolor="white" stroke="f">
      <v:fill color="white" on="f"/>
      <v:stroke on="f"/>
    </o:shapedefaults>
    <o:shapelayout v:ext="edit">
      <o:idmap v:ext="edit" data="1"/>
    </o:shapelayout>
  </w:shapeDefaults>
  <w:decimalSymbol w:val="."/>
  <w:listSeparator w:val=","/>
  <w14:docId w14:val="29AB08FD"/>
  <w15:chartTrackingRefBased/>
  <w15:docId w15:val="{093ED547-04D2-4515-BFDF-C88E2AC27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495"/>
    <w:rPr>
      <w:rFonts w:ascii="Arial" w:hAnsi="Arial"/>
      <w:color w:val="1F4E79" w:themeColor="accent1" w:themeShade="80"/>
      <w:sz w:val="18"/>
    </w:rPr>
  </w:style>
  <w:style w:type="paragraph" w:styleId="Heading1">
    <w:name w:val="heading 1"/>
    <w:basedOn w:val="Normal"/>
    <w:next w:val="Normal"/>
    <w:link w:val="Heading1Char"/>
    <w:uiPriority w:val="9"/>
    <w:qFormat/>
    <w:rsid w:val="00C8195B"/>
    <w:pPr>
      <w:keepNext/>
      <w:keepLines/>
      <w:spacing w:before="240" w:after="0"/>
      <w:outlineLvl w:val="0"/>
    </w:pPr>
    <w:rPr>
      <w:rFonts w:eastAsiaTheme="majorEastAsia" w:cstheme="majorBidi"/>
      <w:b/>
      <w:color w:val="2E74B5" w:themeColor="accent1" w:themeShade="BF"/>
      <w:sz w:val="22"/>
      <w:szCs w:val="32"/>
    </w:rPr>
  </w:style>
  <w:style w:type="paragraph" w:styleId="Heading2">
    <w:name w:val="heading 2"/>
    <w:basedOn w:val="Normal"/>
    <w:next w:val="Normal"/>
    <w:link w:val="Heading2Char"/>
    <w:autoRedefine/>
    <w:uiPriority w:val="9"/>
    <w:unhideWhenUsed/>
    <w:qFormat/>
    <w:rsid w:val="00907D25"/>
    <w:pPr>
      <w:keepNext/>
      <w:keepLines/>
      <w:spacing w:before="40" w:after="0"/>
      <w:outlineLvl w:val="1"/>
    </w:pPr>
    <w:rPr>
      <w:rFonts w:eastAsiaTheme="majorEastAsia" w:cs="Arial"/>
      <w:b/>
      <w:color w:val="2E74B5" w:themeColor="accent1" w:themeShade="BF"/>
      <w:szCs w:val="18"/>
      <w:u w:val="single"/>
    </w:rPr>
  </w:style>
  <w:style w:type="paragraph" w:styleId="Heading3">
    <w:name w:val="heading 3"/>
    <w:basedOn w:val="Normal"/>
    <w:next w:val="Normal"/>
    <w:link w:val="Heading3Char"/>
    <w:uiPriority w:val="9"/>
    <w:unhideWhenUsed/>
    <w:qFormat/>
    <w:rsid w:val="00907D25"/>
    <w:pPr>
      <w:keepNext/>
      <w:keepLines/>
      <w:spacing w:before="40" w:after="0"/>
      <w:outlineLvl w:val="2"/>
    </w:pPr>
    <w:rPr>
      <w:rFonts w:eastAsiaTheme="majorEastAsia" w:cstheme="majorBidi"/>
      <w:b/>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07D25"/>
    <w:rPr>
      <w:rFonts w:ascii="Arial" w:eastAsiaTheme="majorEastAsia" w:hAnsi="Arial" w:cs="Arial"/>
      <w:b/>
      <w:color w:val="2E74B5" w:themeColor="accent1" w:themeShade="BF"/>
      <w:sz w:val="18"/>
      <w:szCs w:val="18"/>
      <w:u w:val="single"/>
    </w:rPr>
  </w:style>
  <w:style w:type="character" w:customStyle="1" w:styleId="Heading1Char">
    <w:name w:val="Heading 1 Char"/>
    <w:basedOn w:val="DefaultParagraphFont"/>
    <w:link w:val="Heading1"/>
    <w:uiPriority w:val="9"/>
    <w:rsid w:val="00C8195B"/>
    <w:rPr>
      <w:rFonts w:ascii="Arial" w:eastAsiaTheme="majorEastAsia" w:hAnsi="Arial" w:cstheme="majorBidi"/>
      <w:b/>
      <w:color w:val="2E74B5" w:themeColor="accent1" w:themeShade="BF"/>
      <w:szCs w:val="32"/>
    </w:rPr>
  </w:style>
  <w:style w:type="paragraph" w:styleId="Caption">
    <w:name w:val="caption"/>
    <w:basedOn w:val="Normal"/>
    <w:next w:val="Normal"/>
    <w:uiPriority w:val="35"/>
    <w:unhideWhenUsed/>
    <w:qFormat/>
    <w:rsid w:val="006B4C7E"/>
    <w:pPr>
      <w:spacing w:after="200" w:line="240" w:lineRule="auto"/>
    </w:pPr>
    <w:rPr>
      <w:i/>
      <w:iCs/>
      <w:color w:val="44546A" w:themeColor="text2"/>
      <w:szCs w:val="18"/>
    </w:rPr>
  </w:style>
  <w:style w:type="paragraph" w:styleId="FootnoteText">
    <w:name w:val="footnote text"/>
    <w:basedOn w:val="Normal"/>
    <w:link w:val="FootnoteTextChar"/>
    <w:uiPriority w:val="99"/>
    <w:semiHidden/>
    <w:unhideWhenUsed/>
    <w:rsid w:val="001328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2816"/>
    <w:rPr>
      <w:sz w:val="20"/>
      <w:szCs w:val="20"/>
    </w:rPr>
  </w:style>
  <w:style w:type="character" w:styleId="FootnoteReference">
    <w:name w:val="footnote reference"/>
    <w:basedOn w:val="DefaultParagraphFont"/>
    <w:uiPriority w:val="99"/>
    <w:semiHidden/>
    <w:unhideWhenUsed/>
    <w:rsid w:val="00132816"/>
    <w:rPr>
      <w:vertAlign w:val="superscript"/>
    </w:rPr>
  </w:style>
  <w:style w:type="character" w:customStyle="1" w:styleId="Heading3Char">
    <w:name w:val="Heading 3 Char"/>
    <w:basedOn w:val="DefaultParagraphFont"/>
    <w:link w:val="Heading3"/>
    <w:uiPriority w:val="9"/>
    <w:rsid w:val="00907D25"/>
    <w:rPr>
      <w:rFonts w:ascii="Arial" w:eastAsiaTheme="majorEastAsia" w:hAnsi="Arial" w:cstheme="majorBidi"/>
      <w:b/>
      <w:color w:val="1F4D78" w:themeColor="accent1" w:themeShade="7F"/>
      <w:sz w:val="18"/>
      <w:szCs w:val="24"/>
    </w:rPr>
  </w:style>
  <w:style w:type="character" w:styleId="Hyperlink">
    <w:name w:val="Hyperlink"/>
    <w:basedOn w:val="DefaultParagraphFont"/>
    <w:uiPriority w:val="99"/>
    <w:unhideWhenUsed/>
    <w:rsid w:val="00FF61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139604">
      <w:bodyDiv w:val="1"/>
      <w:marLeft w:val="0"/>
      <w:marRight w:val="0"/>
      <w:marTop w:val="0"/>
      <w:marBottom w:val="0"/>
      <w:divBdr>
        <w:top w:val="none" w:sz="0" w:space="0" w:color="auto"/>
        <w:left w:val="none" w:sz="0" w:space="0" w:color="auto"/>
        <w:bottom w:val="none" w:sz="0" w:space="0" w:color="auto"/>
        <w:right w:val="none" w:sz="0" w:space="0" w:color="auto"/>
      </w:divBdr>
    </w:div>
    <w:div w:id="107420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 Type="http://schemas.openxmlformats.org/officeDocument/2006/relationships/settings" Target="settings.xml"/><Relationship Id="rId21" Type="http://schemas.openxmlformats.org/officeDocument/2006/relationships/image" Target="media/image15.emf"/><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image" Target="media/image23.e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emf"/><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image" Target="media/image24.emf"/></Relationships>
</file>

<file path=word/_rels/footnotes.xml.rels><?xml version="1.0" encoding="UTF-8" standalone="yes"?>
<Relationships xmlns="http://schemas.openxmlformats.org/package/2006/relationships"><Relationship Id="rId2" Type="http://schemas.openxmlformats.org/officeDocument/2006/relationships/hyperlink" Target="http://www.peah.it/2018/07/5498/" TargetMode="External"/><Relationship Id="rId1" Type="http://schemas.openxmlformats.org/officeDocument/2006/relationships/hyperlink" Target="http://www.peah.it/2021/04/96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88695E-F0A3-46DD-B3B5-140004927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2262</Words>
  <Characters>12895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15127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GARAY AMORES Juan (EEAS-HAVANA)</dc:creator>
  <cp:keywords/>
  <dc:description/>
  <cp:lastModifiedBy>GARAY AMORES Juan (EEAS-HAVANA)</cp:lastModifiedBy>
  <cp:revision>3</cp:revision>
  <dcterms:created xsi:type="dcterms:W3CDTF">2021-12-23T15:21:00Z</dcterms:created>
  <dcterms:modified xsi:type="dcterms:W3CDTF">2021-12-25T07:31:00Z</dcterms:modified>
</cp:coreProperties>
</file>