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C0990" w:rsidRPr="00BC0990">
        <w:rPr>
          <w:rFonts w:eastAsiaTheme="minorEastAsia" w:cs="Arial"/>
          <w:lang w:eastAsia="en-GB"/>
        </w:rPr>
        <w:t>Belize</w:t>
      </w:r>
      <w:bookmarkEnd w:id="0"/>
    </w:p>
    <w:p w:rsidR="00C14780" w:rsidRPr="00C14780" w:rsidRDefault="00C14780" w:rsidP="00C14780">
      <w:pPr>
        <w:rPr>
          <w:rFonts w:cs="Arial"/>
          <w:szCs w:val="18"/>
        </w:rPr>
      </w:pPr>
      <w:r w:rsidRPr="00C14780">
        <w:rPr>
          <w:rFonts w:cs="Arial"/>
          <w:szCs w:val="18"/>
        </w:rPr>
        <w:t>This analysis is based on a methodology developed from 2010 and 2020</w:t>
      </w:r>
      <w:r w:rsidRPr="00C14780">
        <w:rPr>
          <w:rFonts w:cs="Arial"/>
          <w:szCs w:val="18"/>
          <w:vertAlign w:val="superscript"/>
        </w:rPr>
        <w:footnoteReference w:id="1"/>
      </w:r>
      <w:r w:rsidRPr="00C14780">
        <w:rPr>
          <w:rFonts w:cs="Arial"/>
          <w:szCs w:val="18"/>
          <w:vertAlign w:val="superscript"/>
        </w:rPr>
        <w:t xml:space="preserve"> </w:t>
      </w:r>
      <w:r w:rsidRPr="00C14780">
        <w:rPr>
          <w:rFonts w:cs="Arial"/>
          <w:szCs w:val="18"/>
          <w:vertAlign w:val="superscript"/>
        </w:rPr>
        <w:footnoteReference w:id="2"/>
      </w:r>
      <w:r w:rsidRPr="00C14780">
        <w:rPr>
          <w:rFonts w:cs="Arial"/>
          <w:szCs w:val="18"/>
        </w:rPr>
        <w:t xml:space="preserve"> </w:t>
      </w:r>
      <w:r w:rsidRPr="00C14780">
        <w:rPr>
          <w:rFonts w:cs="Arial"/>
          <w:szCs w:val="18"/>
          <w:vertAlign w:val="superscript"/>
        </w:rPr>
        <w:footnoteReference w:id="3"/>
      </w:r>
      <w:r w:rsidRPr="00C14780">
        <w:rPr>
          <w:rFonts w:cs="Arial"/>
          <w:szCs w:val="18"/>
        </w:rPr>
        <w:t xml:space="preserve">.It uses international data sources to identify global wellbeing references, identifies the levels replicable to all and estimates the deficit from those by country, time-period, sex and age group. </w:t>
      </w:r>
    </w:p>
    <w:p w:rsidR="00C14780" w:rsidRPr="00C14780" w:rsidRDefault="00C14780" w:rsidP="00C14780">
      <w:pPr>
        <w:rPr>
          <w:rFonts w:cs="Arial"/>
          <w:szCs w:val="18"/>
        </w:rPr>
      </w:pPr>
      <w:r w:rsidRPr="00C14780">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C14780" w:rsidRPr="00C14780" w:rsidRDefault="00C14780" w:rsidP="00C14780">
      <w:pPr>
        <w:spacing w:after="0"/>
        <w:rPr>
          <w:rFonts w:eastAsiaTheme="majorEastAsia" w:cs="Arial"/>
          <w:b/>
          <w:szCs w:val="18"/>
          <w:u w:val="single"/>
        </w:rPr>
      </w:pPr>
      <w:r w:rsidRPr="00C14780">
        <w:rPr>
          <w:rFonts w:eastAsiaTheme="majorEastAsia" w:cs="Arial"/>
          <w:b/>
          <w:szCs w:val="18"/>
          <w:u w:val="single"/>
        </w:rPr>
        <w:t>Methodology</w:t>
      </w:r>
    </w:p>
    <w:p w:rsidR="00C14780" w:rsidRPr="00C14780" w:rsidRDefault="00C14780" w:rsidP="00C14780">
      <w:pPr>
        <w:jc w:val="both"/>
        <w:rPr>
          <w:rFonts w:cs="Arial"/>
          <w:szCs w:val="18"/>
        </w:rPr>
      </w:pPr>
      <w:r w:rsidRPr="00C14780">
        <w:rPr>
          <w:rFonts w:cs="Arial"/>
          <w:szCs w:val="18"/>
        </w:rPr>
        <w:t>The only global health objective agreed by all countries is the constitution of the World Health Organization, which aims at the “</w:t>
      </w:r>
      <w:r w:rsidRPr="00C14780">
        <w:rPr>
          <w:rFonts w:cs="Arial"/>
          <w:i/>
          <w:szCs w:val="18"/>
        </w:rPr>
        <w:t>best feasible level of health for all</w:t>
      </w:r>
      <w:r w:rsidRPr="00C14780">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C14780" w:rsidRPr="00C14780" w:rsidRDefault="00C14780" w:rsidP="00C14780">
      <w:pPr>
        <w:jc w:val="both"/>
        <w:rPr>
          <w:rFonts w:cs="Arial"/>
          <w:szCs w:val="18"/>
        </w:rPr>
      </w:pPr>
      <w:r w:rsidRPr="00C14780">
        <w:rPr>
          <w:rFonts w:cs="Arial"/>
          <w:szCs w:val="18"/>
        </w:rPr>
        <w:t xml:space="preserve">Using those </w:t>
      </w:r>
      <w:r w:rsidRPr="00C14780">
        <w:rPr>
          <w:rFonts w:cs="Arial"/>
          <w:i/>
          <w:szCs w:val="18"/>
          <w:u w:val="single"/>
        </w:rPr>
        <w:t>healthy, replicable and sustainable</w:t>
      </w:r>
      <w:r w:rsidRPr="00C14780">
        <w:rPr>
          <w:rFonts w:cs="Arial"/>
          <w:szCs w:val="18"/>
        </w:rPr>
        <w:t xml:space="preserve"> (HRS) models</w:t>
      </w:r>
      <w:r w:rsidRPr="00C14780">
        <w:rPr>
          <w:rFonts w:cs="Arial"/>
          <w:szCs w:val="18"/>
          <w:vertAlign w:val="superscript"/>
        </w:rPr>
        <w:footnoteReference w:id="4"/>
      </w:r>
      <w:r w:rsidRPr="00C14780">
        <w:rPr>
          <w:rFonts w:cs="Arial"/>
          <w:szCs w:val="18"/>
        </w:rPr>
        <w:t xml:space="preserve">, we adjusted mortality rates by age and sex published by the UN Population Division every five years. We call the excess mortality above that from the HRS models, the </w:t>
      </w:r>
      <w:r w:rsidRPr="00C14780">
        <w:rPr>
          <w:rFonts w:cs="Arial"/>
          <w:i/>
          <w:szCs w:val="18"/>
          <w:u w:val="single"/>
        </w:rPr>
        <w:t>burden of health inequity</w:t>
      </w:r>
      <w:r w:rsidRPr="00C14780">
        <w:rPr>
          <w:rFonts w:cs="Arial"/>
          <w:szCs w:val="18"/>
        </w:rPr>
        <w:t>. The analysis also allows setting the “</w:t>
      </w:r>
      <w:r w:rsidRPr="00C14780">
        <w:rPr>
          <w:rFonts w:cs="Arial"/>
          <w:i/>
          <w:szCs w:val="18"/>
        </w:rPr>
        <w:t>dignity threshold</w:t>
      </w:r>
      <w:r w:rsidRPr="00C14780">
        <w:rPr>
          <w:rFonts w:cs="Arial"/>
          <w:szCs w:val="18"/>
        </w:rPr>
        <w:t>” (below which no country has achieved that best feasible health) and the “</w:t>
      </w:r>
      <w:r w:rsidRPr="00C14780">
        <w:rPr>
          <w:rFonts w:cs="Arial"/>
          <w:i/>
          <w:szCs w:val="18"/>
        </w:rPr>
        <w:t>upper threshold</w:t>
      </w:r>
      <w:r w:rsidRPr="00C14780">
        <w:rPr>
          <w:rFonts w:cs="Arial"/>
          <w:szCs w:val="18"/>
        </w:rPr>
        <w:t xml:space="preserve">” (above which wellbeing does not improve). Those thresholds frame the </w:t>
      </w:r>
      <w:r w:rsidRPr="00C14780">
        <w:rPr>
          <w:rFonts w:cs="Arial"/>
          <w:i/>
          <w:szCs w:val="18"/>
        </w:rPr>
        <w:t>equity curve</w:t>
      </w:r>
      <w:r w:rsidRPr="00C14780">
        <w:rPr>
          <w:rFonts w:cs="Arial"/>
          <w:szCs w:val="18"/>
        </w:rPr>
        <w:t xml:space="preserve"> between both and the level of </w:t>
      </w:r>
      <w:r w:rsidRPr="00C14780">
        <w:rPr>
          <w:rFonts w:cs="Arial"/>
          <w:i/>
          <w:szCs w:val="18"/>
        </w:rPr>
        <w:t>redistribution required</w:t>
      </w:r>
      <w:r w:rsidRPr="00C14780">
        <w:rPr>
          <w:rFonts w:cs="Arial"/>
          <w:szCs w:val="18"/>
        </w:rPr>
        <w:t xml:space="preserve"> for those under the dignity threshold (in need of net support) or from those above the upper threshold (ethically responsible for net contribution). </w:t>
      </w:r>
    </w:p>
    <w:p w:rsidR="00C14780" w:rsidRPr="00C14780" w:rsidRDefault="00C14780" w:rsidP="00C14780">
      <w:pPr>
        <w:rPr>
          <w:rFonts w:cs="Arial"/>
          <w:szCs w:val="18"/>
        </w:rPr>
      </w:pPr>
      <w:r w:rsidRPr="00C14780">
        <w:rPr>
          <w:rFonts w:cs="Arial"/>
          <w:szCs w:val="18"/>
        </w:rPr>
        <w:t xml:space="preserve">Taking into account the negative impact on third countries by excess income pc or excess carbon emissions pc, we estimated the </w:t>
      </w:r>
      <w:r w:rsidRPr="00C14780">
        <w:rPr>
          <w:rFonts w:cs="Arial"/>
          <w:i/>
          <w:szCs w:val="18"/>
        </w:rPr>
        <w:t>Sustainable and Equitable Wellbeing (SEW) Index</w:t>
      </w:r>
      <w:r w:rsidRPr="00C14780">
        <w:rPr>
          <w:rFonts w:cs="Arial"/>
          <w:i/>
          <w:szCs w:val="18"/>
          <w:vertAlign w:val="superscript"/>
        </w:rPr>
        <w:footnoteReference w:id="5"/>
      </w:r>
      <w:r w:rsidRPr="00C14780">
        <w:rPr>
          <w:rFonts w:cs="Arial"/>
          <w:i/>
          <w:szCs w:val="18"/>
        </w:rPr>
        <w:t xml:space="preserve">. </w:t>
      </w:r>
      <w:r w:rsidRPr="00C14780">
        <w:rPr>
          <w:rFonts w:cs="Arial"/>
          <w:szCs w:val="18"/>
        </w:rPr>
        <w:t>The methodology we hereby propose challenges XX</w:t>
      </w:r>
      <w:r w:rsidRPr="00C14780">
        <w:rPr>
          <w:rFonts w:cs="Arial"/>
          <w:szCs w:val="18"/>
          <w:vertAlign w:val="superscript"/>
        </w:rPr>
        <w:t>th</w:t>
      </w:r>
      <w:r w:rsidRPr="00C14780">
        <w:rPr>
          <w:rFonts w:cs="Arial"/>
          <w:szCs w:val="18"/>
        </w:rPr>
        <w:t xml:space="preserve"> century concepts such as high income-development models, constant GDP growth, poverty, ODA and the human development index. The hereby suggested “</w:t>
      </w:r>
      <w:r w:rsidRPr="00C14780">
        <w:rPr>
          <w:rFonts w:cs="Arial"/>
          <w:i/>
          <w:szCs w:val="18"/>
        </w:rPr>
        <w:t>equity lenses</w:t>
      </w:r>
      <w:r w:rsidRPr="00C14780">
        <w:rPr>
          <w:rFonts w:cs="Arial"/>
          <w:szCs w:val="18"/>
        </w:rPr>
        <w:t xml:space="preserve">” provide a useful tool to identify </w:t>
      </w:r>
      <w:r w:rsidRPr="00C14780">
        <w:rPr>
          <w:rFonts w:cs="Arial"/>
          <w:i/>
          <w:szCs w:val="18"/>
        </w:rPr>
        <w:t>alternative wellbeing models</w:t>
      </w:r>
      <w:r w:rsidRPr="00C14780">
        <w:rPr>
          <w:rFonts w:cs="Arial"/>
          <w:szCs w:val="18"/>
        </w:rPr>
        <w:t>, subnational analysis and policies towards territorial and fiscal equity and individual and collective conscious responsibility based on the ethical principle of equity</w:t>
      </w:r>
    </w:p>
    <w:p w:rsidR="00E963F0" w:rsidRPr="00E963F0" w:rsidRDefault="00132816" w:rsidP="00C14780">
      <w:pPr>
        <w:jc w:val="both"/>
      </w:pPr>
      <w:r w:rsidRPr="00E963F0">
        <w:rPr>
          <w:rFonts w:cs="Arial"/>
          <w:szCs w:val="18"/>
        </w:rPr>
        <w:t>.</w:t>
      </w:r>
      <w:r w:rsidR="00E963F0" w:rsidRPr="00E963F0">
        <w:t xml:space="preserve">Figure </w:t>
      </w:r>
      <w:r w:rsidR="0042090C">
        <w:fldChar w:fldCharType="begin"/>
      </w:r>
      <w:r w:rsidR="0042090C">
        <w:instrText xml:space="preserve"> SEQ Figure \* ARABIC </w:instrText>
      </w:r>
      <w:r w:rsidR="0042090C">
        <w:fldChar w:fldCharType="separate"/>
      </w:r>
      <w:r w:rsidR="00AD744D">
        <w:rPr>
          <w:noProof/>
        </w:rPr>
        <w:t>1</w:t>
      </w:r>
      <w:r w:rsidR="0042090C">
        <w:rPr>
          <w:noProof/>
        </w:rPr>
        <w:fldChar w:fldCharType="end"/>
      </w:r>
      <w:r w:rsidR="00E963F0" w:rsidRPr="00E963F0">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C14780" w:rsidRDefault="00C14780" w:rsidP="00BA3D4A">
      <w:pPr>
        <w:rPr>
          <w:rFonts w:cs="Arial"/>
          <w:szCs w:val="18"/>
        </w:rPr>
      </w:pPr>
      <w:r w:rsidRPr="00C14780">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szCs w:val="18"/>
        </w:rPr>
        <w:t xml:space="preserve"> </w:t>
      </w:r>
      <w:r w:rsidR="005C4DF7" w:rsidRPr="00BA3D4A">
        <w:rPr>
          <w:szCs w:val="18"/>
        </w:rPr>
        <w:t xml:space="preserve">to </w:t>
      </w:r>
      <w:r w:rsidR="00BC0990" w:rsidRPr="00BC0990">
        <w:rPr>
          <w:szCs w:val="18"/>
          <w:lang w:eastAsia="en-GB"/>
        </w:rPr>
        <w:t>Belize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634D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218.8pt">
            <v:imagedata r:id="rId8" o:title=""/>
          </v:shape>
        </w:pict>
      </w:r>
    </w:p>
    <w:p w:rsidR="00DD01AF" w:rsidRPr="005D78C1" w:rsidRDefault="005C4DF7">
      <w:pPr>
        <w:rPr>
          <w:rFonts w:cs="Arial"/>
          <w:szCs w:val="18"/>
        </w:rPr>
      </w:pPr>
      <w:r w:rsidRPr="005D78C1">
        <w:rPr>
          <w:rFonts w:cs="Arial"/>
          <w:szCs w:val="18"/>
        </w:rPr>
        <w:t xml:space="preserve">The above table shows how </w:t>
      </w:r>
      <w:r w:rsidR="00BC0990" w:rsidRPr="00BC0990">
        <w:rPr>
          <w:rFonts w:cs="Arial"/>
          <w:szCs w:val="18"/>
          <w:lang w:eastAsia="en-GB"/>
        </w:rPr>
        <w:t>Belize</w:t>
      </w:r>
      <w:r w:rsidRPr="005D78C1">
        <w:rPr>
          <w:rFonts w:cs="Arial"/>
          <w:szCs w:val="18"/>
        </w:rPr>
        <w:t xml:space="preserve"> has a bio capacity</w:t>
      </w:r>
      <w:r w:rsidR="00697F5B" w:rsidRPr="005D78C1">
        <w:rPr>
          <w:rFonts w:cs="Arial"/>
          <w:szCs w:val="18"/>
        </w:rPr>
        <w:t xml:space="preserve"> </w:t>
      </w:r>
      <w:r w:rsidR="00BC0990" w:rsidRPr="00BC0990">
        <w:rPr>
          <w:rFonts w:eastAsiaTheme="minorEastAsia" w:cs="Arial"/>
          <w:szCs w:val="18"/>
          <w:lang w:eastAsia="en-GB"/>
        </w:rPr>
        <w:t>above its neighbour</w:t>
      </w:r>
      <w:r w:rsidR="00BC0990" w:rsidRPr="00BC0990">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BC0990" w:rsidRPr="00BC0990">
        <w:rPr>
          <w:rFonts w:eastAsiaTheme="minorEastAsia" w:cs="Arial"/>
          <w:szCs w:val="18"/>
          <w:lang w:eastAsia="en-GB"/>
        </w:rPr>
        <w:t>Guatemala</w:t>
      </w:r>
      <w:r w:rsidR="005D78C1" w:rsidRPr="005D78C1">
        <w:rPr>
          <w:rFonts w:cs="Arial"/>
          <w:szCs w:val="18"/>
        </w:rPr>
        <w:t xml:space="preserve"> and </w:t>
      </w:r>
      <w:r w:rsidR="00BC0990" w:rsidRPr="00BC0990">
        <w:rPr>
          <w:rFonts w:eastAsiaTheme="minorEastAsia" w:cs="Arial"/>
          <w:szCs w:val="18"/>
          <w:lang w:eastAsia="en-GB"/>
        </w:rPr>
        <w:t>Mexico</w:t>
      </w:r>
      <w:r w:rsidR="005D78C1" w:rsidRPr="005D78C1">
        <w:rPr>
          <w:rFonts w:cs="Arial"/>
          <w:szCs w:val="18"/>
        </w:rPr>
        <w:t xml:space="preserve">, </w:t>
      </w:r>
      <w:r w:rsidRPr="005D78C1">
        <w:rPr>
          <w:rFonts w:cs="Arial"/>
          <w:szCs w:val="18"/>
        </w:rPr>
        <w:t xml:space="preserve">and economic power (estimated though GDP CV) </w:t>
      </w:r>
      <w:r w:rsidR="00BC0990" w:rsidRPr="00BC0990">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BC0990" w:rsidRPr="00BC0990">
        <w:rPr>
          <w:rFonts w:eastAsiaTheme="minorEastAsia" w:cs="Arial"/>
          <w:szCs w:val="18"/>
          <w:lang w:eastAsia="en-GB"/>
        </w:rPr>
        <w:t>above its neighbour</w:t>
      </w:r>
      <w:r w:rsidR="00BC0990" w:rsidRPr="00BC0990">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BC0990" w:rsidRPr="00BC0990">
        <w:rPr>
          <w:rFonts w:eastAsiaTheme="minorEastAsia" w:cs="Arial"/>
          <w:szCs w:val="18"/>
          <w:lang w:eastAsia="en-GB"/>
        </w:rPr>
        <w:t>between the two</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634DA" w:rsidP="00DD01AF">
      <w:r>
        <w:pict>
          <v:shape id="_x0000_i1026" type="#_x0000_t75" style="width:402.1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C0990" w:rsidRPr="00BC0990">
        <w:rPr>
          <w:rFonts w:eastAsiaTheme="minorEastAsia" w:cs="Arial"/>
          <w:szCs w:val="18"/>
          <w:lang w:eastAsia="en-GB"/>
        </w:rPr>
        <w:t>Tonga</w:t>
      </w:r>
      <w:r w:rsidRPr="00C148B4">
        <w:rPr>
          <w:rFonts w:cs="Arial"/>
          <w:szCs w:val="18"/>
        </w:rPr>
        <w:t xml:space="preserve"> and </w:t>
      </w:r>
      <w:r w:rsidR="00BC0990" w:rsidRPr="00BC0990">
        <w:rPr>
          <w:rFonts w:eastAsiaTheme="minorEastAsia" w:cs="Arial"/>
          <w:szCs w:val="18"/>
          <w:lang w:eastAsia="en-GB"/>
        </w:rPr>
        <w:t>Albania</w:t>
      </w:r>
      <w:r w:rsidRPr="00C148B4">
        <w:rPr>
          <w:rFonts w:cs="Arial"/>
          <w:szCs w:val="18"/>
        </w:rPr>
        <w:t xml:space="preserve">. </w:t>
      </w:r>
      <w:r w:rsidR="00BC0990" w:rsidRPr="00BC0990">
        <w:rPr>
          <w:rFonts w:eastAsiaTheme="minorEastAsia" w:cs="Arial"/>
          <w:szCs w:val="18"/>
          <w:lang w:eastAsia="en-GB"/>
        </w:rPr>
        <w:t>Belize</w:t>
      </w:r>
      <w:r w:rsidR="00EB2495" w:rsidRPr="00C148B4">
        <w:rPr>
          <w:rFonts w:cs="Arial"/>
          <w:b/>
          <w:szCs w:val="18"/>
        </w:rPr>
        <w:t xml:space="preserve"> </w:t>
      </w:r>
      <w:r w:rsidR="00EB2495" w:rsidRPr="00C148B4">
        <w:rPr>
          <w:rFonts w:cs="Arial"/>
          <w:szCs w:val="18"/>
        </w:rPr>
        <w:t xml:space="preserve">has a life expectancy at birth </w:t>
      </w:r>
      <w:r w:rsidR="00BC0990" w:rsidRPr="00BC0990">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634DA">
      <w:r>
        <w:pict>
          <v:shape id="_x0000_i1027" type="#_x0000_t75" style="width:453.5pt;height:277.7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C0990" w:rsidRPr="00BC0990">
        <w:rPr>
          <w:rFonts w:eastAsiaTheme="minorEastAsia" w:cs="Arial"/>
          <w:szCs w:val="18"/>
          <w:lang w:eastAsia="en-GB"/>
        </w:rPr>
        <w:t>Belize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C0990" w:rsidRPr="00BC0990">
        <w:rPr>
          <w:rFonts w:eastAsiaTheme="minorEastAsia" w:cs="Arial"/>
          <w:szCs w:val="18"/>
          <w:lang w:eastAsia="en-GB"/>
        </w:rPr>
        <w:t>Belize</w:t>
      </w:r>
      <w:r w:rsidRPr="003C30ED">
        <w:rPr>
          <w:rFonts w:cs="Arial"/>
          <w:szCs w:val="18"/>
        </w:rPr>
        <w:t xml:space="preserve"> is </w:t>
      </w:r>
      <w:r w:rsidR="00BC0990" w:rsidRPr="00BC0990">
        <w:rPr>
          <w:rFonts w:eastAsiaTheme="minorEastAsia" w:cs="Arial"/>
          <w:szCs w:val="18"/>
          <w:lang w:eastAsia="en-GB"/>
        </w:rPr>
        <w:t>232%</w:t>
      </w:r>
      <w:r w:rsidRPr="003C30ED">
        <w:rPr>
          <w:rFonts w:cs="Arial"/>
          <w:szCs w:val="18"/>
        </w:rPr>
        <w:t xml:space="preserve"> of the world average</w:t>
      </w:r>
      <w:r w:rsidR="00B418EB" w:rsidRPr="003C30ED">
        <w:rPr>
          <w:rFonts w:cs="Arial"/>
          <w:szCs w:val="18"/>
        </w:rPr>
        <w:t xml:space="preserve">, hence being </w:t>
      </w:r>
      <w:r w:rsidR="00BC0990" w:rsidRPr="00BC0990">
        <w:rPr>
          <w:rFonts w:eastAsiaTheme="minorEastAsia" w:cs="Arial"/>
          <w:szCs w:val="18"/>
          <w:lang w:eastAsia="en-GB"/>
        </w:rPr>
        <w:t>non replicable</w:t>
      </w:r>
      <w:r w:rsidR="00B418EB" w:rsidRPr="003C30ED">
        <w:rPr>
          <w:rFonts w:cs="Arial"/>
          <w:szCs w:val="18"/>
        </w:rPr>
        <w:t xml:space="preserve"> at global level. The ecological footprint of </w:t>
      </w:r>
      <w:bookmarkStart w:id="2" w:name="OLE_LINK3"/>
      <w:r w:rsidR="00BC0990" w:rsidRPr="00BC0990">
        <w:rPr>
          <w:rFonts w:eastAsiaTheme="minorEastAsia" w:cs="Arial"/>
          <w:szCs w:val="18"/>
          <w:lang w:eastAsia="en-GB"/>
        </w:rPr>
        <w:t>Belize</w:t>
      </w:r>
      <w:bookmarkEnd w:id="2"/>
      <w:r w:rsidR="00B418EB" w:rsidRPr="003C30ED">
        <w:rPr>
          <w:rFonts w:cs="Arial"/>
          <w:szCs w:val="18"/>
        </w:rPr>
        <w:t xml:space="preserve"> is </w:t>
      </w:r>
      <w:r w:rsidR="00BC0990" w:rsidRPr="00BC0990">
        <w:rPr>
          <w:rFonts w:eastAsiaTheme="minorEastAsia" w:cs="Arial"/>
          <w:szCs w:val="18"/>
          <w:lang w:eastAsia="en-GB"/>
        </w:rPr>
        <w:t>192%</w:t>
      </w:r>
      <w:r w:rsidR="00C443DA" w:rsidRPr="003C30ED">
        <w:rPr>
          <w:rFonts w:cs="Arial"/>
          <w:szCs w:val="18"/>
        </w:rPr>
        <w:t xml:space="preserve"> of the international average and </w:t>
      </w:r>
      <w:r w:rsidR="00BC0990" w:rsidRPr="00BC0990">
        <w:rPr>
          <w:rFonts w:eastAsiaTheme="minorEastAsia" w:cs="Arial"/>
          <w:szCs w:val="18"/>
          <w:lang w:eastAsia="en-GB"/>
        </w:rPr>
        <w:t>328%</w:t>
      </w:r>
      <w:r w:rsidR="00C443DA" w:rsidRPr="003C30ED">
        <w:rPr>
          <w:rFonts w:cs="Arial"/>
          <w:szCs w:val="18"/>
        </w:rPr>
        <w:t xml:space="preserve"> of the recycling threshold, hence ecologically </w:t>
      </w:r>
      <w:r w:rsidR="00BC0990" w:rsidRPr="00BC0990">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C0990" w:rsidRPr="00BC0990">
        <w:rPr>
          <w:rFonts w:eastAsiaTheme="minorEastAsia" w:cs="Arial"/>
          <w:szCs w:val="18"/>
          <w:lang w:eastAsia="en-GB"/>
        </w:rPr>
        <w:t>Belize</w:t>
      </w:r>
      <w:r w:rsidR="00C443DA" w:rsidRPr="003C30ED">
        <w:rPr>
          <w:rFonts w:cs="Arial"/>
          <w:szCs w:val="18"/>
        </w:rPr>
        <w:t xml:space="preserve"> is </w:t>
      </w:r>
      <w:r w:rsidR="00BC0990" w:rsidRPr="00BC0990">
        <w:rPr>
          <w:rFonts w:eastAsiaTheme="minorEastAsia" w:cs="Arial"/>
          <w:szCs w:val="18"/>
          <w:lang w:eastAsia="en-GB"/>
        </w:rPr>
        <w:t>142%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C0990" w:rsidRPr="00BC0990">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C0990" w:rsidRPr="00BC0990">
        <w:rPr>
          <w:rFonts w:eastAsiaTheme="minorEastAsia" w:cs="Arial"/>
          <w:szCs w:val="18"/>
          <w:lang w:eastAsia="en-GB"/>
        </w:rPr>
        <w:t>23%</w:t>
      </w:r>
      <w:r w:rsidR="00691D14" w:rsidRPr="003C30ED">
        <w:rPr>
          <w:rFonts w:cs="Arial"/>
          <w:szCs w:val="18"/>
        </w:rPr>
        <w:t xml:space="preserve"> of the international level and </w:t>
      </w:r>
      <w:r w:rsidR="00BC0990" w:rsidRPr="00BC0990">
        <w:rPr>
          <w:rFonts w:eastAsiaTheme="minorEastAsia" w:cs="Arial"/>
          <w:szCs w:val="18"/>
          <w:lang w:eastAsia="en-GB"/>
        </w:rPr>
        <w:t>58%</w:t>
      </w:r>
      <w:r w:rsidR="00691D14" w:rsidRPr="003C30ED">
        <w:rPr>
          <w:rFonts w:cs="Arial"/>
          <w:szCs w:val="18"/>
        </w:rPr>
        <w:t xml:space="preserve"> of the ethical threshold, therefore </w:t>
      </w:r>
      <w:r w:rsidR="00BC0990" w:rsidRPr="00BC0990">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C0990" w:rsidRPr="00BC0990">
        <w:rPr>
          <w:rFonts w:cs="Arial"/>
          <w:szCs w:val="18"/>
        </w:rPr>
        <w:t>Belize</w:t>
      </w:r>
      <w:r w:rsidRPr="0040139C">
        <w:rPr>
          <w:rFonts w:cs="Arial"/>
          <w:szCs w:val="18"/>
        </w:rPr>
        <w:t xml:space="preserve">’s GDP CV pc is </w:t>
      </w:r>
      <w:r w:rsidR="00BC0990" w:rsidRPr="00BC0990">
        <w:rPr>
          <w:rFonts w:eastAsiaTheme="minorEastAsia" w:cs="Arial"/>
          <w:szCs w:val="18"/>
          <w:lang w:eastAsia="en-GB"/>
        </w:rPr>
        <w:t>44%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C0990" w:rsidRPr="00BC0990">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C0990" w:rsidRPr="00BC0990">
        <w:rPr>
          <w:rFonts w:eastAsiaTheme="minorEastAsia" w:cs="Arial"/>
          <w:szCs w:val="18"/>
          <w:lang w:eastAsia="en-GB"/>
        </w:rPr>
        <w:t>123%</w:t>
      </w:r>
      <w:r w:rsidRPr="0040139C">
        <w:rPr>
          <w:rFonts w:cs="Arial"/>
          <w:szCs w:val="18"/>
        </w:rPr>
        <w:t xml:space="preserve"> of the HRS reference. </w:t>
      </w:r>
      <w:r w:rsidR="0091495E" w:rsidRPr="0040139C">
        <w:rPr>
          <w:rFonts w:cs="Arial"/>
          <w:szCs w:val="18"/>
        </w:rPr>
        <w:t xml:space="preserve">Its cumulative wealth pcy is </w:t>
      </w:r>
      <w:r w:rsidR="00BC0990" w:rsidRPr="00BC0990">
        <w:rPr>
          <w:rFonts w:eastAsiaTheme="minorEastAsia" w:cs="Arial"/>
          <w:szCs w:val="18"/>
          <w:lang w:eastAsia="en-GB"/>
        </w:rPr>
        <w:t>13%</w:t>
      </w:r>
      <w:r w:rsidR="0091495E" w:rsidRPr="0040139C">
        <w:rPr>
          <w:rFonts w:cs="Arial"/>
          <w:szCs w:val="18"/>
        </w:rPr>
        <w:t xml:space="preserve"> of the international average and </w:t>
      </w:r>
      <w:r w:rsidR="00BC0990" w:rsidRPr="00BC0990">
        <w:rPr>
          <w:rFonts w:eastAsiaTheme="minorEastAsia" w:cs="Arial"/>
          <w:szCs w:val="18"/>
          <w:lang w:eastAsia="en-GB"/>
        </w:rPr>
        <w:t>47%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C0990" w:rsidRPr="00BC0990">
        <w:rPr>
          <w:rFonts w:eastAsiaTheme="minorEastAsia" w:cs="Arial"/>
          <w:szCs w:val="18"/>
          <w:lang w:eastAsia="en-GB"/>
        </w:rPr>
        <w:t>Belize</w:t>
      </w:r>
      <w:r w:rsidRPr="00691D14">
        <w:rPr>
          <w:rFonts w:cs="Arial"/>
          <w:szCs w:val="18"/>
        </w:rPr>
        <w:t xml:space="preserve"> is </w:t>
      </w:r>
      <w:r w:rsidR="00BC0990" w:rsidRPr="00BC0990">
        <w:rPr>
          <w:rFonts w:eastAsiaTheme="minorEastAsia" w:cs="Arial"/>
          <w:szCs w:val="18"/>
          <w:lang w:eastAsia="en-GB"/>
        </w:rPr>
        <w:t>1.90</w:t>
      </w:r>
      <w:r w:rsidRPr="00691D14">
        <w:rPr>
          <w:rFonts w:cs="Arial"/>
          <w:szCs w:val="18"/>
        </w:rPr>
        <w:t xml:space="preserve"> years </w:t>
      </w:r>
      <w:r w:rsidR="00BC0990" w:rsidRPr="00BC0990">
        <w:rPr>
          <w:rFonts w:eastAsiaTheme="minorEastAsia" w:cs="Arial"/>
          <w:szCs w:val="18"/>
          <w:lang w:eastAsia="en-GB"/>
        </w:rPr>
        <w:t>above</w:t>
      </w:r>
      <w:r w:rsidRPr="00691D14">
        <w:rPr>
          <w:rFonts w:cs="Arial"/>
          <w:szCs w:val="18"/>
        </w:rPr>
        <w:t xml:space="preserve"> the international average (</w:t>
      </w:r>
      <w:r w:rsidR="00BC0990" w:rsidRPr="00BC0990">
        <w:rPr>
          <w:rFonts w:eastAsiaTheme="minorEastAsia" w:cs="Arial"/>
          <w:szCs w:val="18"/>
          <w:lang w:eastAsia="en-GB"/>
        </w:rPr>
        <w:t>2.75</w:t>
      </w:r>
      <w:r w:rsidRPr="00691D14">
        <w:rPr>
          <w:rFonts w:cs="Arial"/>
          <w:szCs w:val="18"/>
        </w:rPr>
        <w:t xml:space="preserve"> in women and </w:t>
      </w:r>
      <w:r w:rsidR="00BC0990" w:rsidRPr="00BC0990">
        <w:rPr>
          <w:rFonts w:eastAsiaTheme="minorEastAsia" w:cs="Arial"/>
          <w:szCs w:val="18"/>
          <w:lang w:eastAsia="en-GB"/>
        </w:rPr>
        <w:t>1.06</w:t>
      </w:r>
      <w:r w:rsidRPr="00691D14">
        <w:rPr>
          <w:rFonts w:cs="Arial"/>
          <w:szCs w:val="18"/>
        </w:rPr>
        <w:t xml:space="preserve"> </w:t>
      </w:r>
      <w:r w:rsidR="00BC0990" w:rsidRPr="00BC0990">
        <w:rPr>
          <w:rFonts w:eastAsiaTheme="minorEastAsia" w:cs="Arial"/>
          <w:szCs w:val="18"/>
          <w:lang w:eastAsia="en-GB"/>
        </w:rPr>
        <w:t>above</w:t>
      </w:r>
      <w:r w:rsidRPr="00691D14">
        <w:rPr>
          <w:rFonts w:cs="Arial"/>
          <w:szCs w:val="18"/>
        </w:rPr>
        <w:t xml:space="preserve"> in men) and </w:t>
      </w:r>
      <w:r w:rsidR="00BC0990" w:rsidRPr="00BC0990">
        <w:rPr>
          <w:rFonts w:eastAsiaTheme="minorEastAsia" w:cs="Arial"/>
          <w:szCs w:val="18"/>
          <w:lang w:eastAsia="en-GB"/>
        </w:rPr>
        <w:t>2.16</w:t>
      </w:r>
      <w:r w:rsidRPr="00691D14">
        <w:rPr>
          <w:rFonts w:cs="Arial"/>
          <w:szCs w:val="18"/>
        </w:rPr>
        <w:t xml:space="preserve"> years </w:t>
      </w:r>
      <w:r w:rsidR="00BC0990" w:rsidRPr="00BC0990">
        <w:rPr>
          <w:rFonts w:eastAsiaTheme="minorEastAsia" w:cs="Arial"/>
          <w:szCs w:val="18"/>
          <w:lang w:eastAsia="en-GB"/>
        </w:rPr>
        <w:t>below</w:t>
      </w:r>
      <w:r w:rsidRPr="00691D14">
        <w:rPr>
          <w:rFonts w:cs="Arial"/>
          <w:szCs w:val="18"/>
        </w:rPr>
        <w:t xml:space="preserve"> the HRS level (</w:t>
      </w:r>
      <w:r w:rsidR="00BC0990" w:rsidRPr="00BC0990">
        <w:rPr>
          <w:rFonts w:eastAsiaTheme="minorEastAsia" w:cs="Arial"/>
          <w:szCs w:val="18"/>
          <w:lang w:eastAsia="en-GB"/>
        </w:rPr>
        <w:t>2.54</w:t>
      </w:r>
      <w:r w:rsidRPr="00691D14">
        <w:rPr>
          <w:rFonts w:cs="Arial"/>
          <w:szCs w:val="18"/>
        </w:rPr>
        <w:t xml:space="preserve"> </w:t>
      </w:r>
      <w:r w:rsidR="00BC0990" w:rsidRPr="00BC0990">
        <w:rPr>
          <w:rFonts w:eastAsiaTheme="minorEastAsia" w:cs="Arial"/>
          <w:szCs w:val="18"/>
          <w:lang w:eastAsia="en-GB"/>
        </w:rPr>
        <w:t>below</w:t>
      </w:r>
      <w:r w:rsidRPr="00691D14">
        <w:rPr>
          <w:rFonts w:cs="Arial"/>
          <w:szCs w:val="18"/>
        </w:rPr>
        <w:t xml:space="preserve"> in women and </w:t>
      </w:r>
      <w:r w:rsidR="00BC0990" w:rsidRPr="00BC0990">
        <w:rPr>
          <w:rFonts w:eastAsiaTheme="minorEastAsia" w:cs="Arial"/>
          <w:szCs w:val="18"/>
          <w:lang w:eastAsia="en-GB"/>
        </w:rPr>
        <w:t>1.79</w:t>
      </w:r>
      <w:r w:rsidRPr="00691D14">
        <w:rPr>
          <w:rFonts w:cs="Arial"/>
          <w:szCs w:val="18"/>
        </w:rPr>
        <w:t xml:space="preserve"> </w:t>
      </w:r>
      <w:r w:rsidR="00BC0990" w:rsidRPr="00BC0990">
        <w:rPr>
          <w:rFonts w:eastAsiaTheme="minorEastAsia" w:cs="Arial"/>
          <w:szCs w:val="18"/>
          <w:lang w:eastAsia="en-GB"/>
        </w:rPr>
        <w:t>below</w:t>
      </w:r>
      <w:r w:rsidR="00BB1CDC" w:rsidRPr="00691D14">
        <w:rPr>
          <w:rFonts w:cs="Arial"/>
          <w:szCs w:val="18"/>
        </w:rPr>
        <w:t xml:space="preserve"> in men) with a proportional sex difference of </w:t>
      </w:r>
      <w:r w:rsidR="00BC0990" w:rsidRPr="00BC0990">
        <w:rPr>
          <w:rFonts w:eastAsiaTheme="minorEastAsia" w:cs="Arial"/>
          <w:szCs w:val="18"/>
          <w:lang w:eastAsia="en-GB"/>
        </w:rPr>
        <w:t>7.98%</w:t>
      </w:r>
      <w:r w:rsidR="00BB1CDC" w:rsidRPr="00691D14">
        <w:rPr>
          <w:rFonts w:cs="Arial"/>
          <w:szCs w:val="18"/>
        </w:rPr>
        <w:t xml:space="preserve">, </w:t>
      </w:r>
      <w:r w:rsidR="00BC0990" w:rsidRPr="00BC0990">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C14780" w:rsidRPr="00C14780" w:rsidRDefault="00C14780" w:rsidP="00C14780">
      <w:pPr>
        <w:rPr>
          <w:rFonts w:cs="Arial"/>
          <w:szCs w:val="18"/>
        </w:rPr>
      </w:pPr>
      <w:r w:rsidRPr="00C14780">
        <w:rPr>
          <w:rFonts w:cs="Arial"/>
          <w:szCs w:val="18"/>
        </w:rPr>
        <w:t xml:space="preserve">The following graphs represent the annual average levels of the nature’s recycling capacity in hectares pcy (bio capacity), the rate at which such resources are used (ecological footprint) and the level of CO2 emissions pcy </w:t>
      </w:r>
      <w:r w:rsidR="00B634DA">
        <w:rPr>
          <w:rFonts w:cs="Arial"/>
          <w:szCs w:val="18"/>
        </w:rPr>
        <w:t>I i</w:t>
      </w:r>
      <w:r w:rsidRPr="00C14780">
        <w:rPr>
          <w:rFonts w:cs="Arial"/>
          <w:szCs w:val="18"/>
        </w:rPr>
        <w:t>n</w:t>
      </w:r>
      <w:r w:rsidR="00B634DA">
        <w:rPr>
          <w:rFonts w:cs="Arial"/>
          <w:szCs w:val="18"/>
        </w:rPr>
        <w:t xml:space="preserve"> </w:t>
      </w:r>
      <w:bookmarkStart w:id="3" w:name="_GoBack"/>
      <w:bookmarkEnd w:id="3"/>
      <w:r w:rsidR="00B634DA">
        <w:rPr>
          <w:rFonts w:eastAsiaTheme="minorEastAsia" w:cs="Arial"/>
          <w:szCs w:val="18"/>
          <w:lang w:eastAsia="en-GB"/>
        </w:rPr>
        <w:t>Belize</w:t>
      </w:r>
      <w:r w:rsidRPr="00C14780">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B634DA" w:rsidP="008224FD">
      <w:pPr>
        <w:keepNext/>
        <w:jc w:val="center"/>
      </w:pPr>
      <w:r>
        <w:pict>
          <v:shape id="_x0000_i1028" type="#_x0000_t75" style="width:338.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634DA" w:rsidP="00E2114C">
      <w:pPr>
        <w:jc w:val="center"/>
      </w:pPr>
      <w:r>
        <w:pict>
          <v:shape id="_x0000_i1029" type="#_x0000_t75" style="width:339.4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2090C" w:rsidP="00907D25">
      <w:pPr>
        <w:pStyle w:val="Caption"/>
        <w:jc w:val="center"/>
        <w:rPr>
          <w:color w:val="1F4E79" w:themeColor="accent1" w:themeShade="80"/>
        </w:rPr>
      </w:pPr>
      <w:r>
        <w:rPr>
          <w:color w:val="1F4E79" w:themeColor="accent1" w:themeShade="80"/>
        </w:rPr>
        <w:pict>
          <v:shape id="_x0000_i1030" type="#_x0000_t75" style="width:339.4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BC0990" w:rsidRPr="00BC0990">
        <w:rPr>
          <w:rFonts w:eastAsiaTheme="minorEastAsia" w:cs="Arial"/>
          <w:i w:val="0"/>
          <w:iCs w:val="0"/>
          <w:color w:val="1F4E79" w:themeColor="accent1" w:themeShade="80"/>
          <w:lang w:eastAsia="en-GB"/>
        </w:rPr>
        <w:t>Belize</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BC0990" w:rsidRPr="00BC0990">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BC0990" w:rsidRPr="00BC0990">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BC0990" w:rsidRPr="00BC0990">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BC0990" w:rsidRPr="00BC0990">
        <w:rPr>
          <w:rFonts w:eastAsiaTheme="minorEastAsia" w:cs="Arial"/>
          <w:i w:val="0"/>
          <w:iCs w:val="0"/>
          <w:color w:val="1F4E79" w:themeColor="accent1" w:themeShade="80"/>
          <w:lang w:eastAsia="en-GB"/>
        </w:rPr>
        <w:t>also</w:t>
      </w:r>
      <w:r w:rsidR="0018380D" w:rsidRPr="0040139C">
        <w:rPr>
          <w:rFonts w:cs="Arial"/>
          <w:i w:val="0"/>
          <w:color w:val="1F4E79" w:themeColor="accent1" w:themeShade="80"/>
        </w:rPr>
        <w:t xml:space="preserve"> </w:t>
      </w:r>
      <w:r w:rsidR="00BC0990" w:rsidRPr="00BC0990">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42090C" w:rsidP="00AD744D">
      <w:pPr>
        <w:jc w:val="center"/>
      </w:pPr>
      <w:r>
        <w:pict>
          <v:shape id="_x0000_i1031" type="#_x0000_t75" style="width:357.2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BC0990" w:rsidRPr="00BC0990">
        <w:rPr>
          <w:rFonts w:eastAsiaTheme="minorEastAsia" w:cs="Arial"/>
          <w:iCs/>
          <w:szCs w:val="18"/>
          <w:lang w:eastAsia="en-GB"/>
        </w:rPr>
        <w:t>Belize</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C0990" w:rsidRPr="00BC0990">
        <w:rPr>
          <w:rFonts w:eastAsiaTheme="minorEastAsia" w:cs="Arial"/>
          <w:iCs/>
          <w:szCs w:val="18"/>
          <w:lang w:eastAsia="en-GB"/>
        </w:rPr>
        <w:t>Belize</w:t>
      </w:r>
      <w:r w:rsidR="00597E52" w:rsidRPr="00597E52">
        <w:rPr>
          <w:rFonts w:cs="Arial"/>
          <w:szCs w:val="18"/>
        </w:rPr>
        <w:t xml:space="preserve"> is $</w:t>
      </w:r>
      <w:r w:rsidR="00BC0990" w:rsidRPr="00BC0990">
        <w:rPr>
          <w:rFonts w:eastAsiaTheme="minorEastAsia" w:cs="Arial"/>
          <w:szCs w:val="18"/>
          <w:lang w:eastAsia="en-GB"/>
        </w:rPr>
        <w:t>1676704952</w:t>
      </w:r>
      <w:r w:rsidR="00597E52" w:rsidRPr="00597E52">
        <w:rPr>
          <w:rFonts w:cs="Arial"/>
          <w:szCs w:val="18"/>
        </w:rPr>
        <w:t xml:space="preserve">, </w:t>
      </w:r>
      <w:r w:rsidR="00BC0990" w:rsidRPr="00BC0990">
        <w:rPr>
          <w:rFonts w:eastAsiaTheme="minorEastAsia" w:cs="Arial"/>
          <w:i/>
          <w:iCs/>
          <w:szCs w:val="18"/>
          <w:lang w:eastAsia="en-GB"/>
        </w:rPr>
        <w:t>0.0021%</w:t>
      </w:r>
      <w:r w:rsidR="00597E52" w:rsidRPr="00597E52">
        <w:rPr>
          <w:rFonts w:cs="Arial"/>
          <w:szCs w:val="18"/>
        </w:rPr>
        <w:t xml:space="preserve"> of the world’s GDP (while being </w:t>
      </w:r>
      <w:r w:rsidR="00BC0990" w:rsidRPr="00BC0990">
        <w:rPr>
          <w:rFonts w:eastAsiaTheme="minorEastAsia" w:cs="Arial"/>
          <w:i/>
          <w:iCs/>
          <w:szCs w:val="18"/>
          <w:lang w:eastAsia="en-GB"/>
        </w:rPr>
        <w:t>0.0050%</w:t>
      </w:r>
      <w:r w:rsidR="00597E52" w:rsidRPr="00597E52">
        <w:rPr>
          <w:rFonts w:cs="Arial"/>
          <w:szCs w:val="18"/>
        </w:rPr>
        <w:t xml:space="preserve"> of the world’s population), which translates in GDP pc $</w:t>
      </w:r>
      <w:r w:rsidR="00BC0990" w:rsidRPr="00BC0990">
        <w:rPr>
          <w:rFonts w:eastAsiaTheme="minorEastAsia" w:cs="Arial"/>
          <w:szCs w:val="18"/>
          <w:lang w:eastAsia="en-GB"/>
        </w:rPr>
        <w:t>4796</w:t>
      </w:r>
      <w:r w:rsidR="00597E52" w:rsidRPr="00597E52">
        <w:rPr>
          <w:rFonts w:cs="Arial"/>
          <w:szCs w:val="18"/>
        </w:rPr>
        <w:t xml:space="preserve">pcy, as mentioned above, </w:t>
      </w:r>
      <w:r w:rsidR="00BC0990" w:rsidRPr="00BC0990">
        <w:rPr>
          <w:rFonts w:eastAsiaTheme="minorEastAsia" w:cs="Arial"/>
          <w:szCs w:val="18"/>
          <w:lang w:eastAsia="en-GB"/>
        </w:rPr>
        <w:t>44%</w:t>
      </w:r>
      <w:r w:rsidR="00597E52" w:rsidRPr="00597E52">
        <w:rPr>
          <w:rFonts w:cs="Arial"/>
          <w:szCs w:val="18"/>
        </w:rPr>
        <w:t xml:space="preserve"> of the international average and </w:t>
      </w:r>
      <w:r w:rsidR="00BC0990" w:rsidRPr="00BC0990">
        <w:rPr>
          <w:rFonts w:eastAsiaTheme="minorEastAsia" w:cs="Arial"/>
          <w:szCs w:val="18"/>
          <w:lang w:eastAsia="en-GB"/>
        </w:rPr>
        <w:t>123%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42090C"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Pr="00310104"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BC0990" w:rsidRPr="00BC0990">
        <w:rPr>
          <w:rFonts w:eastAsiaTheme="minorEastAsia" w:cs="Arial"/>
          <w:szCs w:val="18"/>
          <w:lang w:eastAsia="en-GB"/>
        </w:rPr>
        <w:t>Belize</w:t>
      </w:r>
      <w:r w:rsidR="0071566C" w:rsidRPr="00310104">
        <w:rPr>
          <w:rFonts w:cs="Arial"/>
          <w:szCs w:val="18"/>
        </w:rPr>
        <w:t xml:space="preserve"> is </w:t>
      </w:r>
      <w:r w:rsidR="00BC0990" w:rsidRPr="00BC0990">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C0990" w:rsidRPr="00BC0990">
        <w:rPr>
          <w:rFonts w:eastAsiaTheme="minorEastAsia" w:cs="Arial"/>
          <w:szCs w:val="18"/>
          <w:lang w:eastAsia="en-GB"/>
        </w:rPr>
        <w:t>Belize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2090C" w:rsidP="00BE4F85">
      <w:pPr>
        <w:pStyle w:val="Caption"/>
        <w:keepNext/>
        <w:jc w:val="center"/>
        <w:rPr>
          <w:color w:val="1F4E79" w:themeColor="accent1" w:themeShade="80"/>
        </w:rPr>
      </w:pPr>
      <w:r>
        <w:rPr>
          <w:noProof/>
        </w:rPr>
        <w:pict>
          <v:shape id="_x0000_s1100" type="#_x0000_t75" style="position:absolute;left:0;text-align:left;margin-left:63.5pt;margin-top:16.65pt;width:565.1pt;height:219.9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C0990" w:rsidRPr="00BC0990">
        <w:rPr>
          <w:rFonts w:eastAsiaTheme="minorEastAsia" w:cs="Arial"/>
          <w:szCs w:val="18"/>
          <w:lang w:eastAsia="en-GB"/>
        </w:rPr>
        <w:t>Belize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C0990" w:rsidRPr="00BC0990">
        <w:rPr>
          <w:rFonts w:eastAsiaTheme="minorEastAsia" w:cs="Arial"/>
          <w:szCs w:val="18"/>
          <w:lang w:eastAsia="en-GB"/>
        </w:rPr>
        <w:t>2.75</w:t>
      </w:r>
      <w:r w:rsidR="007B0146" w:rsidRPr="00C03058">
        <w:rPr>
          <w:rFonts w:cs="Arial"/>
          <w:szCs w:val="18"/>
        </w:rPr>
        <w:t xml:space="preserve"> </w:t>
      </w:r>
      <w:r w:rsidR="00BC0990" w:rsidRPr="00BC0990">
        <w:rPr>
          <w:rFonts w:eastAsiaTheme="minorEastAsia" w:cs="Arial"/>
          <w:szCs w:val="18"/>
          <w:lang w:eastAsia="en-GB"/>
        </w:rPr>
        <w:t>above</w:t>
      </w:r>
      <w:r w:rsidR="007B0146" w:rsidRPr="00C03058">
        <w:rPr>
          <w:rFonts w:cs="Arial"/>
          <w:szCs w:val="18"/>
        </w:rPr>
        <w:t xml:space="preserve"> the international average in women and </w:t>
      </w:r>
      <w:r w:rsidR="00BC0990" w:rsidRPr="00BC0990">
        <w:rPr>
          <w:rFonts w:eastAsiaTheme="minorEastAsia" w:cs="Arial"/>
          <w:szCs w:val="18"/>
          <w:lang w:eastAsia="en-GB"/>
        </w:rPr>
        <w:t>1.06</w:t>
      </w:r>
      <w:r w:rsidR="007B0146" w:rsidRPr="00C03058">
        <w:rPr>
          <w:rFonts w:cs="Arial"/>
          <w:szCs w:val="18"/>
        </w:rPr>
        <w:t xml:space="preserve"> </w:t>
      </w:r>
      <w:r w:rsidR="00BC0990" w:rsidRPr="00BC0990">
        <w:rPr>
          <w:rFonts w:eastAsiaTheme="minorEastAsia" w:cs="Arial"/>
          <w:szCs w:val="18"/>
          <w:lang w:eastAsia="en-GB"/>
        </w:rPr>
        <w:t>above</w:t>
      </w:r>
      <w:r w:rsidR="007B0146" w:rsidRPr="00C03058">
        <w:rPr>
          <w:rFonts w:cs="Arial"/>
          <w:szCs w:val="18"/>
        </w:rPr>
        <w:t xml:space="preserve"> in men, and </w:t>
      </w:r>
      <w:r w:rsidR="00BC0990" w:rsidRPr="00BC0990">
        <w:rPr>
          <w:rFonts w:eastAsiaTheme="minorEastAsia" w:cs="Arial"/>
          <w:szCs w:val="18"/>
          <w:lang w:eastAsia="en-GB"/>
        </w:rPr>
        <w:t>2.54</w:t>
      </w:r>
      <w:r w:rsidR="007B0146" w:rsidRPr="00C03058">
        <w:rPr>
          <w:rFonts w:cs="Arial"/>
          <w:szCs w:val="18"/>
        </w:rPr>
        <w:t xml:space="preserve"> years </w:t>
      </w:r>
      <w:r w:rsidR="00BC0990" w:rsidRPr="00BC0990">
        <w:rPr>
          <w:rFonts w:eastAsiaTheme="minorEastAsia" w:cs="Arial"/>
          <w:szCs w:val="18"/>
          <w:lang w:eastAsia="en-GB"/>
        </w:rPr>
        <w:t>below</w:t>
      </w:r>
      <w:r w:rsidR="007B0146" w:rsidRPr="00C03058">
        <w:rPr>
          <w:rFonts w:cs="Arial"/>
          <w:szCs w:val="18"/>
        </w:rPr>
        <w:t xml:space="preserve"> in women and </w:t>
      </w:r>
      <w:r w:rsidR="00BC0990" w:rsidRPr="00BC0990">
        <w:rPr>
          <w:rFonts w:eastAsiaTheme="minorEastAsia" w:cs="Arial"/>
          <w:szCs w:val="18"/>
          <w:lang w:eastAsia="en-GB"/>
        </w:rPr>
        <w:t>1.79</w:t>
      </w:r>
      <w:r w:rsidR="007B0146" w:rsidRPr="00C03058">
        <w:rPr>
          <w:rFonts w:cs="Arial"/>
          <w:szCs w:val="18"/>
        </w:rPr>
        <w:t xml:space="preserve"> </w:t>
      </w:r>
      <w:r w:rsidR="00BC0990" w:rsidRPr="00BC0990">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2090C" w:rsidP="00E2114C">
      <w:pPr>
        <w:jc w:val="center"/>
      </w:pPr>
      <w:r>
        <w:pict>
          <v:shape id="_x0000_i1033" type="#_x0000_t75" style="width:339.45pt;height:198.2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C0990" w:rsidRPr="00BC0990">
        <w:rPr>
          <w:rFonts w:eastAsiaTheme="minorEastAsia" w:cs="Arial"/>
          <w:szCs w:val="18"/>
          <w:lang w:eastAsia="en-GB"/>
        </w:rPr>
        <w:t>Belize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C0990" w:rsidRPr="00BC0990">
        <w:rPr>
          <w:rFonts w:eastAsiaTheme="minorEastAsia" w:cs="Arial"/>
          <w:szCs w:val="18"/>
          <w:lang w:eastAsia="en-GB"/>
        </w:rPr>
        <w:t>Belize</w:t>
      </w:r>
      <w:r w:rsidR="001B1D52" w:rsidRPr="001B1D52">
        <w:rPr>
          <w:rFonts w:cs="Arial"/>
          <w:szCs w:val="18"/>
        </w:rPr>
        <w:t xml:space="preserve"> is </w:t>
      </w:r>
      <w:r w:rsidR="00BC0990" w:rsidRPr="00BC0990">
        <w:rPr>
          <w:rFonts w:eastAsiaTheme="minorEastAsia" w:cs="Arial"/>
          <w:szCs w:val="18"/>
          <w:lang w:eastAsia="en-GB"/>
        </w:rPr>
        <w:t>102%</w:t>
      </w:r>
      <w:r w:rsidR="001B1D52" w:rsidRPr="001B1D52">
        <w:rPr>
          <w:rFonts w:cs="Arial"/>
          <w:szCs w:val="18"/>
        </w:rPr>
        <w:t xml:space="preserve"> of the international average and </w:t>
      </w:r>
      <w:r w:rsidR="00BC0990" w:rsidRPr="00BC0990">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2090C" w:rsidP="00E2114C">
      <w:pPr>
        <w:jc w:val="center"/>
      </w:pPr>
      <w:r>
        <w:pict>
          <v:shape id="_x0000_i1034" type="#_x0000_t75" style="width:339.45pt;height:198.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2090C" w:rsidP="00E2114C">
      <w:pPr>
        <w:jc w:val="center"/>
      </w:pPr>
      <w:r>
        <w:pict>
          <v:shape id="_x0000_i1035" type="#_x0000_t75" style="width:339.45pt;height:198.2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C0990" w:rsidRPr="00BC0990">
        <w:rPr>
          <w:rFonts w:eastAsiaTheme="minorEastAsia" w:cs="Arial"/>
          <w:szCs w:val="18"/>
          <w:lang w:eastAsia="en-GB"/>
        </w:rPr>
        <w:t>Belize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C0990" w:rsidRPr="00BC0990">
        <w:rPr>
          <w:rFonts w:eastAsiaTheme="minorEastAsia" w:cs="Arial"/>
          <w:szCs w:val="18"/>
          <w:lang w:eastAsia="en-GB"/>
        </w:rPr>
        <w:t>6.18</w:t>
      </w:r>
      <w:r w:rsidR="003C7F9A" w:rsidRPr="001B1D52">
        <w:rPr>
          <w:rFonts w:cs="Arial"/>
          <w:szCs w:val="18"/>
        </w:rPr>
        <w:t xml:space="preserve"> years lower in men, which is </w:t>
      </w:r>
      <w:r w:rsidR="00BC0990" w:rsidRPr="00BC0990">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2090C" w:rsidP="00E2114C">
      <w:pPr>
        <w:jc w:val="center"/>
      </w:pPr>
      <w:r>
        <w:pict>
          <v:shape id="_x0000_i1036" type="#_x0000_t75" style="width:566.65pt;height:226.3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C0990" w:rsidRPr="00BC0990">
        <w:rPr>
          <w:rFonts w:eastAsiaTheme="minorEastAsia" w:cs="Arial"/>
          <w:szCs w:val="18"/>
          <w:lang w:eastAsia="en-GB"/>
        </w:rPr>
        <w:t>Belize</w:t>
      </w:r>
      <w:bookmarkEnd w:id="4"/>
      <w:r w:rsidR="006A049C" w:rsidRPr="00AD744D">
        <w:rPr>
          <w:rFonts w:cs="Arial"/>
          <w:szCs w:val="18"/>
        </w:rPr>
        <w:t xml:space="preserve">, </w:t>
      </w:r>
      <w:r w:rsidR="00740091">
        <w:rPr>
          <w:rFonts w:cs="Arial"/>
          <w:szCs w:val="18"/>
        </w:rPr>
        <w:t xml:space="preserve">(with </w:t>
      </w:r>
      <w:r w:rsidR="00BC0990" w:rsidRPr="00BC0990">
        <w:rPr>
          <w:rFonts w:eastAsiaTheme="minorEastAsia" w:cs="Arial"/>
          <w:szCs w:val="18"/>
          <w:lang w:eastAsia="en-GB"/>
        </w:rPr>
        <w:t>123%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C0990" w:rsidRPr="00BC0990">
        <w:rPr>
          <w:rFonts w:eastAsiaTheme="minorEastAsia" w:cs="Arial"/>
          <w:szCs w:val="18"/>
          <w:lang w:eastAsia="en-GB"/>
        </w:rPr>
        <w:t>192</w:t>
      </w:r>
      <w:r w:rsidR="00BC0230" w:rsidRPr="00AD744D">
        <w:rPr>
          <w:rFonts w:cs="Arial"/>
          <w:szCs w:val="18"/>
        </w:rPr>
        <w:t xml:space="preserve"> in women and </w:t>
      </w:r>
      <w:r w:rsidR="00BC0990" w:rsidRPr="00BC0990">
        <w:rPr>
          <w:rFonts w:eastAsiaTheme="minorEastAsia" w:cs="Arial"/>
          <w:szCs w:val="18"/>
          <w:lang w:eastAsia="en-GB"/>
        </w:rPr>
        <w:t>233</w:t>
      </w:r>
      <w:r w:rsidR="001B1D52" w:rsidRPr="00AD744D">
        <w:rPr>
          <w:rFonts w:cs="Arial"/>
          <w:szCs w:val="18"/>
        </w:rPr>
        <w:t xml:space="preserve"> in men, a total of </w:t>
      </w:r>
      <w:r w:rsidR="00BC0990" w:rsidRPr="00BC0990">
        <w:rPr>
          <w:rFonts w:eastAsiaTheme="minorEastAsia" w:cs="Arial"/>
          <w:szCs w:val="18"/>
          <w:lang w:eastAsia="en-GB"/>
        </w:rPr>
        <w:t>425</w:t>
      </w:r>
      <w:r w:rsidR="001B1D52" w:rsidRPr="00AD744D">
        <w:rPr>
          <w:rFonts w:cs="Arial"/>
          <w:szCs w:val="18"/>
        </w:rPr>
        <w:t xml:space="preserve">, which is </w:t>
      </w:r>
      <w:r w:rsidR="00BC0990" w:rsidRPr="00BC0990">
        <w:rPr>
          <w:rFonts w:eastAsiaTheme="minorEastAsia" w:cs="Arial"/>
          <w:i/>
          <w:iCs/>
          <w:szCs w:val="18"/>
          <w:lang w:eastAsia="en-GB"/>
        </w:rPr>
        <w:t>0.0026%</w:t>
      </w:r>
      <w:r w:rsidR="001B1D52" w:rsidRPr="00AD744D">
        <w:rPr>
          <w:rFonts w:cs="Arial"/>
          <w:szCs w:val="18"/>
        </w:rPr>
        <w:t xml:space="preserve"> of the world’s total (compared with</w:t>
      </w:r>
      <w:r w:rsidR="00AD744D" w:rsidRPr="00AD744D">
        <w:rPr>
          <w:rFonts w:cs="Arial"/>
          <w:szCs w:val="18"/>
        </w:rPr>
        <w:t xml:space="preserve"> </w:t>
      </w:r>
      <w:r w:rsidR="00BC0990" w:rsidRPr="00BC0990">
        <w:rPr>
          <w:rFonts w:eastAsiaTheme="minorEastAsia" w:cs="Arial"/>
          <w:szCs w:val="18"/>
          <w:lang w:eastAsia="en-GB"/>
        </w:rPr>
        <w:t>Belize</w:t>
      </w:r>
      <w:r w:rsidR="00AD744D" w:rsidRPr="00AD744D">
        <w:rPr>
          <w:rFonts w:cs="Arial"/>
          <w:szCs w:val="18"/>
        </w:rPr>
        <w:t xml:space="preserve">’s </w:t>
      </w:r>
      <w:r w:rsidR="00BC0990" w:rsidRPr="00BC0990">
        <w:rPr>
          <w:rFonts w:eastAsiaTheme="minorEastAsia" w:cs="Arial"/>
          <w:i/>
          <w:iCs/>
          <w:szCs w:val="18"/>
          <w:lang w:eastAsia="en-GB"/>
        </w:rPr>
        <w:t>0.0050%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2090C" w:rsidP="00E2114C">
      <w:pPr>
        <w:jc w:val="center"/>
      </w:pPr>
      <w:r>
        <w:pict>
          <v:shape id="_x0000_i1037" type="#_x0000_t75" style="width:566.65pt;height:226.3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reflects higher rates in under-5s</w:t>
      </w:r>
      <w:r>
        <w:rPr>
          <w:rFonts w:asciiTheme="minorHAnsi" w:hAnsiTheme="minorHAnsi"/>
          <w:color w:val="auto"/>
          <w:sz w:val="22"/>
        </w:rPr>
        <w:t xml:space="preserve">, </w:t>
      </w:r>
      <w:r w:rsidR="007656FD">
        <w:rPr>
          <w:rFonts w:asciiTheme="minorHAnsi" w:hAnsiTheme="minorHAnsi"/>
          <w:color w:val="auto"/>
          <w:sz w:val="22"/>
        </w:rPr>
        <w:t>and middle aged women (peak in the 55-59 year old group) and men (highest in 30-34 year olds).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2090C" w:rsidP="00E2114C">
      <w:pPr>
        <w:jc w:val="center"/>
      </w:pPr>
      <w:r>
        <w:pict>
          <v:shape id="_x0000_i1038" type="#_x0000_t75" style="width:578.8pt;height:226.3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C0990" w:rsidRPr="00BC0990">
        <w:rPr>
          <w:rFonts w:eastAsiaTheme="minorEastAsia" w:cs="Arial"/>
          <w:szCs w:val="18"/>
          <w:lang w:eastAsia="en-GB"/>
        </w:rPr>
        <w:t>Belize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BC0990" w:rsidRPr="00BC0990">
        <w:rPr>
          <w:rFonts w:eastAsiaTheme="minorEastAsia" w:cs="Arial"/>
          <w:szCs w:val="18"/>
          <w:lang w:eastAsia="en-GB"/>
        </w:rPr>
        <w:t>27.80%</w:t>
      </w:r>
      <w:r w:rsidR="00B871B1" w:rsidRPr="00B871B1">
        <w:rPr>
          <w:rFonts w:cs="Arial"/>
          <w:szCs w:val="18"/>
        </w:rPr>
        <w:t xml:space="preserve"> in women and </w:t>
      </w:r>
      <w:r w:rsidR="00BC0990" w:rsidRPr="00BC0990">
        <w:rPr>
          <w:rFonts w:eastAsiaTheme="minorEastAsia" w:cs="Arial"/>
          <w:szCs w:val="18"/>
          <w:lang w:eastAsia="en-GB"/>
        </w:rPr>
        <w:t>21.31%</w:t>
      </w:r>
      <w:r w:rsidR="00B871B1" w:rsidRPr="00B871B1">
        <w:rPr>
          <w:rFonts w:cs="Arial"/>
          <w:szCs w:val="18"/>
        </w:rPr>
        <w:t xml:space="preserve"> in men, an average of </w:t>
      </w:r>
      <w:r w:rsidR="00BC0990" w:rsidRPr="00BC0990">
        <w:rPr>
          <w:rFonts w:eastAsiaTheme="minorEastAsia" w:cs="Arial"/>
          <w:szCs w:val="18"/>
          <w:lang w:eastAsia="en-GB"/>
        </w:rPr>
        <w:t>24.56%</w:t>
      </w:r>
      <w:r w:rsidR="00B871B1" w:rsidRPr="00B871B1">
        <w:rPr>
          <w:rFonts w:cs="Arial"/>
          <w:szCs w:val="18"/>
        </w:rPr>
        <w:t xml:space="preserve">, </w:t>
      </w:r>
      <w:r w:rsidR="00BC0990" w:rsidRPr="00BC0990">
        <w:rPr>
          <w:rFonts w:eastAsiaTheme="minorEastAsia" w:cs="Arial"/>
          <w:szCs w:val="18"/>
          <w:lang w:eastAsia="en-GB"/>
        </w:rPr>
        <w:t>87%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42090C" w:rsidP="00E2114C">
      <w:pPr>
        <w:jc w:val="center"/>
      </w:pPr>
      <w:r>
        <w:pict>
          <v:shape id="_x0000_i1039" type="#_x0000_t75" style="width:566.65pt;height:223.5pt">
            <v:imagedata r:id="rId23"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 increases with age in adults, more so in women</w:t>
      </w:r>
      <w:r>
        <w:rPr>
          <w:rFonts w:asciiTheme="minorHAnsi" w:hAnsiTheme="minorHAnsi"/>
          <w:color w:val="auto"/>
          <w:sz w:val="22"/>
        </w:rPr>
        <w:t xml:space="preserve"> in the 30-60 year old age group</w:t>
      </w:r>
      <w:r w:rsidR="007656FD">
        <w:rPr>
          <w:rFonts w:asciiTheme="minorHAnsi" w:hAnsiTheme="minorHAnsi"/>
          <w:color w:val="auto"/>
          <w:sz w:val="22"/>
        </w:rPr>
        <w:t xml:space="preserve"> and men between 15 and 35 years</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2090C" w:rsidP="00E2114C">
      <w:pPr>
        <w:jc w:val="center"/>
      </w:pPr>
      <w:r>
        <w:pict>
          <v:shape id="_x0000_i1040" type="#_x0000_t75" style="width:583.5pt;height:273.0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C0990" w:rsidRPr="00BC0990">
        <w:rPr>
          <w:rFonts w:eastAsiaTheme="minorEastAsia" w:cs="Arial"/>
          <w:szCs w:val="18"/>
          <w:lang w:eastAsia="en-GB"/>
        </w:rPr>
        <w:t>Belize</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C0990" w:rsidRPr="00BC0990">
        <w:rPr>
          <w:rFonts w:eastAsiaTheme="minorEastAsia" w:cs="Arial"/>
          <w:szCs w:val="18"/>
          <w:lang w:eastAsia="en-GB"/>
        </w:rPr>
        <w:t>40.32%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C0990" w:rsidRPr="00BC0990">
        <w:rPr>
          <w:rFonts w:eastAsiaTheme="minorEastAsia" w:cs="Arial"/>
          <w:szCs w:val="18"/>
          <w:lang w:eastAsia="en-GB"/>
        </w:rPr>
        <w:t>Belize</w:t>
      </w:r>
      <w:r w:rsidR="00B871B1" w:rsidRPr="00F15F93">
        <w:rPr>
          <w:rFonts w:cs="Arial"/>
          <w:szCs w:val="18"/>
        </w:rPr>
        <w:t xml:space="preserve"> and in the best SEW country (Costa Rica). It stands today at </w:t>
      </w:r>
      <w:r w:rsidR="00BC0990" w:rsidRPr="00BC0990">
        <w:rPr>
          <w:rFonts w:eastAsiaTheme="minorEastAsia" w:cs="Arial"/>
          <w:szCs w:val="18"/>
          <w:lang w:eastAsia="en-GB"/>
        </w:rPr>
        <w:t>250</w:t>
      </w:r>
      <w:r w:rsidR="00B871B1" w:rsidRPr="00F15F93">
        <w:rPr>
          <w:rFonts w:cs="Arial"/>
          <w:szCs w:val="18"/>
        </w:rPr>
        <w:t xml:space="preserve"> in women and </w:t>
      </w:r>
      <w:r w:rsidR="00BC0990" w:rsidRPr="00BC0990">
        <w:rPr>
          <w:rFonts w:eastAsiaTheme="minorEastAsia" w:cs="Arial"/>
          <w:szCs w:val="18"/>
          <w:lang w:eastAsia="en-GB"/>
        </w:rPr>
        <w:t>383</w:t>
      </w:r>
      <w:r w:rsidR="00B871B1" w:rsidRPr="00F15F93">
        <w:rPr>
          <w:rFonts w:cs="Arial"/>
          <w:szCs w:val="18"/>
        </w:rPr>
        <w:t xml:space="preserve"> in men, totalling </w:t>
      </w:r>
      <w:r w:rsidR="00BC0990" w:rsidRPr="00BC0990">
        <w:rPr>
          <w:rFonts w:eastAsiaTheme="minorEastAsia" w:cs="Arial"/>
          <w:szCs w:val="18"/>
          <w:lang w:eastAsia="en-GB"/>
        </w:rPr>
        <w:t>640</w:t>
      </w:r>
      <w:r w:rsidR="00B871B1" w:rsidRPr="00F15F93">
        <w:rPr>
          <w:rFonts w:cs="Arial"/>
          <w:szCs w:val="18"/>
        </w:rPr>
        <w:t xml:space="preserve"> excess deaths (</w:t>
      </w:r>
      <w:r w:rsidR="00BC0990" w:rsidRPr="00BC0990">
        <w:rPr>
          <w:rFonts w:eastAsiaTheme="minorEastAsia" w:cs="Arial"/>
          <w:i/>
          <w:iCs/>
          <w:szCs w:val="18"/>
          <w:lang w:eastAsia="en-GB"/>
        </w:rPr>
        <w:t>0.0029%</w:t>
      </w:r>
      <w:r w:rsidR="00B871B1" w:rsidRPr="00F15F93">
        <w:rPr>
          <w:rFonts w:cs="Arial"/>
          <w:szCs w:val="18"/>
        </w:rPr>
        <w:t xml:space="preserve"> of the world’s total burden ref. best SEW vs. </w:t>
      </w:r>
      <w:r w:rsidR="00F15F93" w:rsidRPr="00F15F93">
        <w:rPr>
          <w:rFonts w:cs="Arial"/>
          <w:szCs w:val="18"/>
        </w:rPr>
        <w:t xml:space="preserve">being </w:t>
      </w:r>
      <w:r w:rsidR="00BC0990" w:rsidRPr="00BC0990">
        <w:rPr>
          <w:rFonts w:eastAsiaTheme="minorEastAsia" w:cs="Arial"/>
          <w:i/>
          <w:iCs/>
          <w:szCs w:val="18"/>
          <w:lang w:eastAsia="en-GB"/>
        </w:rPr>
        <w:t>0.0050%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2090C" w:rsidP="00E2114C">
      <w:pPr>
        <w:jc w:val="center"/>
      </w:pPr>
      <w:r>
        <w:pict>
          <v:shape id="_x0000_i1041" type="#_x0000_t75" style="width:566.65pt;height:221.6pt">
            <v:imagedata r:id="rId25"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 xml:space="preserve">some excess mortality in under 5s growing rates with ages older than 30, </w:t>
      </w:r>
      <w:r w:rsidR="007656FD">
        <w:rPr>
          <w:rFonts w:asciiTheme="minorHAnsi" w:hAnsiTheme="minorHAnsi"/>
          <w:color w:val="auto"/>
          <w:sz w:val="22"/>
        </w:rPr>
        <w:t xml:space="preserve">higher </w:t>
      </w:r>
      <w:r>
        <w:rPr>
          <w:rFonts w:asciiTheme="minorHAnsi" w:hAnsiTheme="minorHAnsi"/>
          <w:color w:val="auto"/>
          <w:sz w:val="22"/>
        </w:rPr>
        <w:t>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2090C" w:rsidP="00251CC5">
      <w:pPr>
        <w:jc w:val="center"/>
      </w:pPr>
      <w:r>
        <w:pict>
          <v:shape id="_x0000_i1042" type="#_x0000_t75" style="width:566.65pt;height:220.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C0990" w:rsidRPr="00BC0990">
        <w:rPr>
          <w:rFonts w:eastAsiaTheme="minorEastAsia" w:cs="Arial"/>
          <w:szCs w:val="18"/>
          <w:lang w:eastAsia="en-GB"/>
        </w:rPr>
        <w:t>35.86%</w:t>
      </w:r>
      <w:r w:rsidR="008E462D" w:rsidRPr="008E462D">
        <w:rPr>
          <w:rFonts w:cs="Arial"/>
          <w:szCs w:val="18"/>
        </w:rPr>
        <w:t xml:space="preserve"> (</w:t>
      </w:r>
      <w:r w:rsidR="00BC0990" w:rsidRPr="00BC0990">
        <w:rPr>
          <w:rFonts w:eastAsiaTheme="minorEastAsia" w:cs="Arial"/>
          <w:szCs w:val="18"/>
          <w:lang w:eastAsia="en-GB"/>
        </w:rPr>
        <w:t>91%</w:t>
      </w:r>
      <w:r w:rsidR="008E462D" w:rsidRPr="008E462D">
        <w:rPr>
          <w:rFonts w:cs="Arial"/>
          <w:szCs w:val="18"/>
        </w:rPr>
        <w:t xml:space="preserve"> of the world’s level-close to 40%-), </w:t>
      </w:r>
      <w:r w:rsidR="00BC0990" w:rsidRPr="00BC0990">
        <w:rPr>
          <w:rFonts w:eastAsiaTheme="minorEastAsia" w:cs="Arial"/>
          <w:szCs w:val="18"/>
          <w:lang w:eastAsia="en-GB"/>
        </w:rPr>
        <w:t>36.27%</w:t>
      </w:r>
      <w:r w:rsidR="008E462D" w:rsidRPr="008E462D">
        <w:rPr>
          <w:rFonts w:cs="Arial"/>
          <w:szCs w:val="18"/>
        </w:rPr>
        <w:t xml:space="preserve"> in women and </w:t>
      </w:r>
      <w:r w:rsidR="00BC0990" w:rsidRPr="00BC0990">
        <w:rPr>
          <w:rFonts w:eastAsiaTheme="minorEastAsia" w:cs="Arial"/>
          <w:szCs w:val="18"/>
          <w:lang w:eastAsia="en-GB"/>
        </w:rPr>
        <w:t>35.03%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2090C" w:rsidP="00A82EF0">
      <w:pPr>
        <w:jc w:val="center"/>
      </w:pPr>
      <w:r>
        <w:pict>
          <v:shape id="_x0000_i1043" type="#_x0000_t75" style="width:566.65pt;height:221.6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377557">
        <w:rPr>
          <w:rFonts w:asciiTheme="minorHAnsi" w:hAnsiTheme="minorHAnsi"/>
          <w:color w:val="auto"/>
          <w:sz w:val="22"/>
        </w:rPr>
        <w:t>5</w:t>
      </w:r>
      <w:r w:rsidRPr="00F42602">
        <w:rPr>
          <w:rFonts w:asciiTheme="minorHAnsi" w:hAnsiTheme="minorHAnsi"/>
          <w:color w:val="auto"/>
          <w:sz w:val="22"/>
        </w:rPr>
        <w:t>s and</w:t>
      </w:r>
      <w:r w:rsidR="00377557">
        <w:rPr>
          <w:rFonts w:asciiTheme="minorHAnsi" w:hAnsiTheme="minorHAnsi"/>
          <w:color w:val="auto"/>
          <w:sz w:val="22"/>
        </w:rPr>
        <w:t xml:space="preserve"> in all age groups </w:t>
      </w:r>
      <w:r w:rsidRPr="00F42602">
        <w:rPr>
          <w:rFonts w:asciiTheme="minorHAnsi" w:hAnsiTheme="minorHAnsi"/>
          <w:color w:val="auto"/>
          <w:sz w:val="22"/>
        </w:rPr>
        <w:t xml:space="preserve">more so </w:t>
      </w:r>
      <w:r w:rsidR="007656FD">
        <w:rPr>
          <w:rFonts w:asciiTheme="minorHAnsi" w:hAnsiTheme="minorHAnsi"/>
          <w:color w:val="auto"/>
          <w:sz w:val="22"/>
        </w:rPr>
        <w:t>in the 25/55 year olds (over 60% in women and over 50% in men)</w:t>
      </w:r>
      <w:r w:rsidRPr="00F42602">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C0990" w:rsidRPr="00692E2C" w:rsidRDefault="00BC0990"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C0990" w:rsidRPr="00692E2C" w:rsidRDefault="00BC0990" w:rsidP="005C4322">
                      <w:pPr>
                        <w:pStyle w:val="Caption"/>
                        <w:rPr>
                          <w:noProof/>
                        </w:rPr>
                      </w:pPr>
                      <w:r>
                        <w:t xml:space="preserve">Figure </w:t>
                      </w:r>
                      <w:r w:rsidR="00E01879">
                        <w:fldChar w:fldCharType="begin"/>
                      </w:r>
                      <w:r w:rsidR="00E01879">
                        <w:instrText xml:space="preserve"> SEQ Figure \* ARABIC </w:instrText>
                      </w:r>
                      <w:r w:rsidR="00E01879">
                        <w:fldChar w:fldCharType="separate"/>
                      </w:r>
                      <w:r>
                        <w:rPr>
                          <w:noProof/>
                        </w:rPr>
                        <w:t>23</w:t>
                      </w:r>
                      <w:r w:rsidR="00E01879">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42090C" w:rsidP="004607FC">
      <w:pPr>
        <w:pStyle w:val="Caption"/>
        <w:rPr>
          <w:color w:val="1F4E79" w:themeColor="accent1" w:themeShade="80"/>
        </w:rPr>
      </w:pPr>
      <w:r>
        <w:rPr>
          <w:noProof/>
        </w:rPr>
        <w:pict>
          <v:shape id="_x0000_s1099" type="#_x0000_t75" style="position:absolute;margin-left:-39.3pt;margin-top:13.05pt;width:176.8pt;height:183.6pt;z-index:251673600;mso-position-horizontal-relative:text;mso-position-vertical-relative:text">
            <v:imagedata r:id="rId28" o:title=""/>
            <w10:wrap type="square"/>
          </v:shape>
        </w:pict>
      </w:r>
      <w:r>
        <w:rPr>
          <w:noProof/>
          <w:color w:val="1F4E79" w:themeColor="accent1" w:themeShade="80"/>
        </w:rPr>
        <w:pict>
          <v:shape id="_x0000_s1098" type="#_x0000_t75" style="position:absolute;margin-left:151.1pt;margin-top:8.9pt;width:540.55pt;height:219.15pt;z-index:251671552;mso-position-horizontal-relative:text;mso-position-vertical-relative:text">
            <v:imagedata r:id="rId29"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BC0990" w:rsidRPr="00BC0990">
        <w:rPr>
          <w:rFonts w:eastAsiaTheme="minorEastAsia" w:cs="Arial"/>
          <w:szCs w:val="18"/>
          <w:lang w:eastAsia="en-GB"/>
        </w:rPr>
        <w:t>Belize</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C0990" w:rsidRPr="00BC0990">
        <w:rPr>
          <w:rFonts w:eastAsiaTheme="minorEastAsia" w:cs="Arial"/>
          <w:szCs w:val="18"/>
          <w:lang w:eastAsia="en-GB"/>
        </w:rPr>
        <w:t>0.00</w:t>
      </w:r>
      <w:r w:rsidR="00EB1DC5" w:rsidRPr="00C8195B">
        <w:rPr>
          <w:rFonts w:cs="Arial"/>
          <w:szCs w:val="18"/>
        </w:rPr>
        <w:t xml:space="preserve"> impact through excess carbon emissions and </w:t>
      </w:r>
      <w:r w:rsidR="00BC0990" w:rsidRPr="00BC0990">
        <w:rPr>
          <w:rFonts w:eastAsiaTheme="minorEastAsia" w:cs="Arial"/>
          <w:szCs w:val="18"/>
          <w:lang w:eastAsia="en-GB"/>
        </w:rPr>
        <w:t>0.00</w:t>
      </w:r>
      <w:r w:rsidR="00EB1DC5" w:rsidRPr="00C8195B">
        <w:rPr>
          <w:rFonts w:cs="Arial"/>
          <w:szCs w:val="18"/>
        </w:rPr>
        <w:t xml:space="preserve"> by excess income, it stands today at </w:t>
      </w:r>
      <w:r w:rsidR="00BC0990" w:rsidRPr="00BC0990">
        <w:rPr>
          <w:rFonts w:eastAsiaTheme="minorEastAsia" w:cs="Arial"/>
          <w:szCs w:val="18"/>
          <w:lang w:eastAsia="en-GB"/>
        </w:rPr>
        <w:t>74.35</w:t>
      </w:r>
      <w:r w:rsidR="00EB1DC5" w:rsidRPr="00C8195B">
        <w:rPr>
          <w:rFonts w:cs="Arial"/>
          <w:szCs w:val="18"/>
        </w:rPr>
        <w:t xml:space="preserve"> life years, and ranks </w:t>
      </w:r>
      <w:r w:rsidR="00BC0990" w:rsidRPr="00BC0990">
        <w:rPr>
          <w:rFonts w:eastAsiaTheme="minorEastAsia" w:cs="Arial"/>
          <w:szCs w:val="18"/>
          <w:lang w:eastAsia="en-GB"/>
        </w:rPr>
        <w:t>47</w:t>
      </w:r>
      <w:r w:rsidR="00EB1DC5" w:rsidRPr="00C8195B">
        <w:rPr>
          <w:rFonts w:cs="Arial"/>
          <w:szCs w:val="18"/>
        </w:rPr>
        <w:t xml:space="preserve"> in the world, </w:t>
      </w:r>
      <w:r w:rsidR="00BC0990" w:rsidRPr="00BC0990">
        <w:rPr>
          <w:rFonts w:eastAsiaTheme="minorEastAsia" w:cs="Arial"/>
          <w:szCs w:val="18"/>
          <w:lang w:eastAsia="en-GB"/>
        </w:rPr>
        <w:t>63</w:t>
      </w:r>
      <w:r w:rsidR="00EB1DC5" w:rsidRPr="00C8195B">
        <w:rPr>
          <w:rFonts w:cs="Arial"/>
          <w:szCs w:val="18"/>
        </w:rPr>
        <w:t xml:space="preserve"> positions </w:t>
      </w:r>
      <w:r w:rsidR="00BC0990" w:rsidRPr="00BC099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C0990" w:rsidRDefault="00BC0990" w:rsidP="00AF4B75">
                            <w:pPr>
                              <w:widowControl w:val="0"/>
                              <w:spacing w:after="0"/>
                              <w:rPr>
                                <w:rFonts w:cs="Arial"/>
                                <w:szCs w:val="18"/>
                              </w:rPr>
                            </w:pPr>
                            <w:r w:rsidRPr="004E516E">
                              <w:rPr>
                                <w:rFonts w:cs="Arial"/>
                                <w:szCs w:val="18"/>
                              </w:rPr>
                              <w:t xml:space="preserve">In summary, the equity profile of </w:t>
                            </w:r>
                            <w:r w:rsidRPr="00BC0990">
                              <w:rPr>
                                <w:rFonts w:eastAsiaTheme="minorEastAsia" w:cs="Arial"/>
                                <w:szCs w:val="18"/>
                                <w:lang w:eastAsia="en-GB"/>
                              </w:rPr>
                              <w:t>Belize</w:t>
                            </w:r>
                            <w:r w:rsidRPr="004E516E">
                              <w:rPr>
                                <w:rFonts w:cs="Arial"/>
                                <w:szCs w:val="18"/>
                              </w:rPr>
                              <w:t xml:space="preserve">, reveals that with </w:t>
                            </w:r>
                            <w:r w:rsidRPr="00BC0990">
                              <w:rPr>
                                <w:rFonts w:eastAsiaTheme="minorEastAsia" w:cs="Arial"/>
                                <w:szCs w:val="18"/>
                                <w:lang w:eastAsia="en-GB"/>
                              </w:rPr>
                              <w:t>232%</w:t>
                            </w:r>
                            <w:r w:rsidRPr="004E516E">
                              <w:rPr>
                                <w:rFonts w:cs="Arial"/>
                                <w:szCs w:val="18"/>
                              </w:rPr>
                              <w:t xml:space="preserve"> of the world average bio capacity pcy, its ecological footprint is </w:t>
                            </w:r>
                            <w:r w:rsidRPr="00BC0990">
                              <w:rPr>
                                <w:rFonts w:eastAsiaTheme="minorEastAsia" w:cs="Arial"/>
                                <w:szCs w:val="18"/>
                                <w:lang w:eastAsia="en-GB"/>
                              </w:rPr>
                              <w:t>328%</w:t>
                            </w:r>
                            <w:r w:rsidRPr="004E516E">
                              <w:rPr>
                                <w:rFonts w:cs="Arial"/>
                                <w:szCs w:val="18"/>
                              </w:rPr>
                              <w:t xml:space="preserve"> of the global recycling threshold (</w:t>
                            </w:r>
                            <w:r w:rsidRPr="00BC0990">
                              <w:rPr>
                                <w:rFonts w:eastAsiaTheme="minorEastAsia" w:cs="Arial"/>
                                <w:szCs w:val="18"/>
                                <w:lang w:eastAsia="en-GB"/>
                              </w:rPr>
                              <w:t>non-sustainable</w:t>
                            </w:r>
                            <w:r w:rsidRPr="004E516E">
                              <w:rPr>
                                <w:rFonts w:cs="Arial"/>
                                <w:szCs w:val="18"/>
                              </w:rPr>
                              <w:t xml:space="preserve">) and </w:t>
                            </w:r>
                            <w:r w:rsidRPr="00BC0990">
                              <w:rPr>
                                <w:rFonts w:eastAsiaTheme="minorEastAsia" w:cs="Arial"/>
                                <w:iCs/>
                                <w:lang w:eastAsia="en-GB"/>
                              </w:rPr>
                              <w:t>also</w:t>
                            </w:r>
                            <w:r w:rsidRPr="00AF4B75">
                              <w:rPr>
                                <w:rFonts w:cs="Arial"/>
                                <w:szCs w:val="18"/>
                              </w:rPr>
                              <w:t xml:space="preserve"> </w:t>
                            </w:r>
                            <w:r w:rsidRPr="00BC0990">
                              <w:rPr>
                                <w:rFonts w:eastAsiaTheme="minorEastAsia" w:cs="Arial"/>
                                <w:szCs w:val="18"/>
                                <w:lang w:eastAsia="en-GB"/>
                              </w:rPr>
                              <w:t>142%</w:t>
                            </w:r>
                            <w:r w:rsidRPr="004E516E">
                              <w:rPr>
                                <w:rFonts w:cs="Arial"/>
                                <w:szCs w:val="18"/>
                              </w:rPr>
                              <w:t xml:space="preserve"> of its national recycling capacity (</w:t>
                            </w:r>
                            <w:r w:rsidRPr="00BC0990">
                              <w:rPr>
                                <w:rFonts w:eastAsiaTheme="minorEastAsia" w:cs="Arial"/>
                                <w:szCs w:val="18"/>
                                <w:lang w:eastAsia="en-GB"/>
                              </w:rPr>
                              <w:t>non-sustainable</w:t>
                            </w:r>
                            <w:r w:rsidRPr="004E516E">
                              <w:rPr>
                                <w:rFonts w:cs="Arial"/>
                                <w:szCs w:val="18"/>
                              </w:rPr>
                              <w:t xml:space="preserve">). The level of CO2 emissions pcy is </w:t>
                            </w:r>
                            <w:r w:rsidRPr="00BC0990">
                              <w:rPr>
                                <w:rFonts w:eastAsiaTheme="minorEastAsia" w:cs="Arial"/>
                                <w:szCs w:val="18"/>
                                <w:lang w:eastAsia="en-GB"/>
                              </w:rPr>
                              <w:t>58%</w:t>
                            </w:r>
                            <w:r w:rsidRPr="004E516E">
                              <w:rPr>
                                <w:rFonts w:cs="Arial"/>
                                <w:szCs w:val="18"/>
                              </w:rPr>
                              <w:t xml:space="preserve"> of the ethical threshold, therefore </w:t>
                            </w:r>
                            <w:r w:rsidRPr="00BC0990">
                              <w:rPr>
                                <w:rFonts w:eastAsiaTheme="minorEastAsia" w:cs="Arial"/>
                                <w:szCs w:val="18"/>
                                <w:lang w:eastAsia="en-GB"/>
                              </w:rPr>
                              <w:t>preventing</w:t>
                            </w:r>
                            <w:r w:rsidRPr="004E516E">
                              <w:rPr>
                                <w:rFonts w:cs="Arial"/>
                                <w:szCs w:val="18"/>
                              </w:rPr>
                              <w:t xml:space="preserve"> global warming. </w:t>
                            </w:r>
                            <w:r w:rsidRPr="00BC0990">
                              <w:rPr>
                                <w:rFonts w:cs="Arial"/>
                                <w:szCs w:val="18"/>
                              </w:rPr>
                              <w:t>Belize</w:t>
                            </w:r>
                            <w:r w:rsidRPr="004E516E">
                              <w:rPr>
                                <w:rFonts w:cs="Arial"/>
                                <w:szCs w:val="18"/>
                              </w:rPr>
                              <w:t xml:space="preserve">’s GDP CV pc is </w:t>
                            </w:r>
                            <w:r w:rsidRPr="00BC0990">
                              <w:rPr>
                                <w:rFonts w:eastAsiaTheme="minorEastAsia" w:cs="Arial"/>
                                <w:szCs w:val="18"/>
                                <w:lang w:eastAsia="en-GB"/>
                              </w:rPr>
                              <w:t>44%</w:t>
                            </w:r>
                            <w:r w:rsidRPr="004E516E">
                              <w:rPr>
                                <w:rFonts w:cs="Arial"/>
                                <w:szCs w:val="18"/>
                              </w:rPr>
                              <w:t xml:space="preserve"> of the international average and </w:t>
                            </w:r>
                            <w:r w:rsidRPr="00BC0990">
                              <w:rPr>
                                <w:rFonts w:eastAsiaTheme="minorEastAsia" w:cs="Arial"/>
                                <w:szCs w:val="18"/>
                                <w:lang w:eastAsia="en-GB"/>
                              </w:rPr>
                              <w:t>123%</w:t>
                            </w:r>
                            <w:r w:rsidRPr="004E516E">
                              <w:rPr>
                                <w:rFonts w:cs="Arial"/>
                                <w:szCs w:val="18"/>
                              </w:rPr>
                              <w:t xml:space="preserve"> of the HRS reference. Life expectancy is </w:t>
                            </w:r>
                            <w:r w:rsidRPr="00BC0990">
                              <w:rPr>
                                <w:rFonts w:eastAsiaTheme="minorEastAsia" w:cs="Arial"/>
                                <w:szCs w:val="18"/>
                                <w:lang w:eastAsia="en-GB"/>
                              </w:rPr>
                              <w:t>1.90</w:t>
                            </w:r>
                            <w:r w:rsidRPr="004E516E">
                              <w:rPr>
                                <w:rFonts w:cs="Arial"/>
                                <w:szCs w:val="18"/>
                              </w:rPr>
                              <w:t xml:space="preserve"> years </w:t>
                            </w:r>
                            <w:r w:rsidRPr="00BC0990">
                              <w:rPr>
                                <w:rFonts w:eastAsiaTheme="minorEastAsia" w:cs="Arial"/>
                                <w:szCs w:val="18"/>
                                <w:lang w:eastAsia="en-GB"/>
                              </w:rPr>
                              <w:t>above</w:t>
                            </w:r>
                            <w:r w:rsidRPr="004E516E">
                              <w:rPr>
                                <w:rFonts w:cs="Arial"/>
                                <w:szCs w:val="18"/>
                              </w:rPr>
                              <w:t xml:space="preserve"> the international average (</w:t>
                            </w:r>
                            <w:r w:rsidRPr="00BC0990">
                              <w:rPr>
                                <w:rFonts w:eastAsiaTheme="minorEastAsia" w:cs="Arial"/>
                                <w:szCs w:val="18"/>
                                <w:lang w:eastAsia="en-GB"/>
                              </w:rPr>
                              <w:t>2.75</w:t>
                            </w:r>
                            <w:r w:rsidRPr="004E516E">
                              <w:rPr>
                                <w:rFonts w:cs="Arial"/>
                                <w:szCs w:val="18"/>
                              </w:rPr>
                              <w:t xml:space="preserve"> in women and </w:t>
                            </w:r>
                            <w:r w:rsidRPr="00BC0990">
                              <w:rPr>
                                <w:rFonts w:eastAsiaTheme="minorEastAsia" w:cs="Arial"/>
                                <w:szCs w:val="18"/>
                                <w:lang w:eastAsia="en-GB"/>
                              </w:rPr>
                              <w:t>1.06</w:t>
                            </w:r>
                            <w:r w:rsidRPr="004E516E">
                              <w:rPr>
                                <w:rFonts w:cs="Arial"/>
                                <w:szCs w:val="18"/>
                              </w:rPr>
                              <w:t xml:space="preserve"> </w:t>
                            </w:r>
                            <w:r w:rsidRPr="00BC0990">
                              <w:rPr>
                                <w:rFonts w:eastAsiaTheme="minorEastAsia" w:cs="Arial"/>
                                <w:szCs w:val="18"/>
                                <w:lang w:eastAsia="en-GB"/>
                              </w:rPr>
                              <w:t>above</w:t>
                            </w:r>
                            <w:r w:rsidRPr="004E516E">
                              <w:rPr>
                                <w:rFonts w:cs="Arial"/>
                                <w:szCs w:val="18"/>
                              </w:rPr>
                              <w:t xml:space="preserve"> in men) with a proportional sex difference of </w:t>
                            </w:r>
                            <w:r w:rsidRPr="00BC0990">
                              <w:rPr>
                                <w:rFonts w:eastAsiaTheme="minorEastAsia" w:cs="Arial"/>
                                <w:szCs w:val="18"/>
                                <w:lang w:eastAsia="en-GB"/>
                              </w:rPr>
                              <w:t>7.98%</w:t>
                            </w:r>
                            <w:r w:rsidRPr="004E516E">
                              <w:rPr>
                                <w:rFonts w:cs="Arial"/>
                                <w:szCs w:val="18"/>
                              </w:rPr>
                              <w:t xml:space="preserve"> higher in women, </w:t>
                            </w:r>
                            <w:r w:rsidRPr="00BC0990">
                              <w:rPr>
                                <w:rFonts w:eastAsiaTheme="minorEastAsia" w:cs="Arial"/>
                                <w:szCs w:val="18"/>
                                <w:lang w:eastAsia="en-GB"/>
                              </w:rPr>
                              <w:t>higher</w:t>
                            </w:r>
                            <w:r w:rsidRPr="004E516E">
                              <w:rPr>
                                <w:rFonts w:cs="Arial"/>
                                <w:szCs w:val="18"/>
                              </w:rPr>
                              <w:t xml:space="preserve"> than the world’s average. The present annual excess mortality in </w:t>
                            </w:r>
                            <w:r w:rsidRPr="00BC0990">
                              <w:rPr>
                                <w:rFonts w:eastAsiaTheme="minorEastAsia" w:cs="Arial"/>
                                <w:szCs w:val="18"/>
                                <w:lang w:eastAsia="en-GB"/>
                              </w:rPr>
                              <w:t>Belize</w:t>
                            </w:r>
                            <w:r w:rsidRPr="004E516E">
                              <w:rPr>
                                <w:rFonts w:cs="Arial"/>
                                <w:szCs w:val="18"/>
                              </w:rPr>
                              <w:t xml:space="preserve">, in relation to HRS reference (feasible for all), is of </w:t>
                            </w:r>
                            <w:r w:rsidRPr="00BC0990">
                              <w:rPr>
                                <w:rFonts w:eastAsiaTheme="minorEastAsia" w:cs="Arial"/>
                                <w:szCs w:val="18"/>
                                <w:lang w:eastAsia="en-GB"/>
                              </w:rPr>
                              <w:t>425</w:t>
                            </w:r>
                            <w:r w:rsidRPr="004E516E">
                              <w:rPr>
                                <w:rFonts w:cs="Arial"/>
                                <w:szCs w:val="18"/>
                              </w:rPr>
                              <w:t xml:space="preserve"> (</w:t>
                            </w:r>
                            <w:r w:rsidRPr="00BC0990">
                              <w:rPr>
                                <w:rFonts w:eastAsiaTheme="minorEastAsia" w:cs="Arial"/>
                                <w:szCs w:val="18"/>
                                <w:lang w:eastAsia="en-GB"/>
                              </w:rPr>
                              <w:t>192</w:t>
                            </w:r>
                            <w:r w:rsidRPr="004E516E">
                              <w:rPr>
                                <w:rFonts w:cs="Arial"/>
                                <w:szCs w:val="18"/>
                              </w:rPr>
                              <w:t xml:space="preserve"> in women and </w:t>
                            </w:r>
                            <w:r w:rsidRPr="00BC0990">
                              <w:rPr>
                                <w:rFonts w:eastAsiaTheme="minorEastAsia" w:cs="Arial"/>
                                <w:szCs w:val="18"/>
                                <w:lang w:eastAsia="en-GB"/>
                              </w:rPr>
                              <w:t>233</w:t>
                            </w:r>
                            <w:r w:rsidRPr="004E516E">
                              <w:rPr>
                                <w:rFonts w:cs="Arial"/>
                                <w:szCs w:val="18"/>
                              </w:rPr>
                              <w:t xml:space="preserve"> in men), meaning </w:t>
                            </w:r>
                            <w:r w:rsidRPr="00BC0990">
                              <w:rPr>
                                <w:rFonts w:eastAsiaTheme="minorEastAsia" w:cs="Arial"/>
                                <w:szCs w:val="18"/>
                                <w:lang w:eastAsia="en-GB"/>
                              </w:rPr>
                              <w:t>24.56%</w:t>
                            </w:r>
                            <w:r>
                              <w:rPr>
                                <w:rFonts w:cs="Arial"/>
                                <w:szCs w:val="18"/>
                              </w:rPr>
                              <w:t xml:space="preserve"> </w:t>
                            </w:r>
                            <w:r w:rsidRPr="004E516E">
                              <w:rPr>
                                <w:rFonts w:cs="Arial"/>
                                <w:szCs w:val="18"/>
                              </w:rPr>
                              <w:t>of all deaths (</w:t>
                            </w:r>
                            <w:r w:rsidRPr="00BC0990">
                              <w:rPr>
                                <w:rFonts w:eastAsiaTheme="minorEastAsia" w:cs="Arial"/>
                                <w:szCs w:val="18"/>
                                <w:lang w:eastAsia="en-GB"/>
                              </w:rPr>
                              <w:t>27.80%</w:t>
                            </w:r>
                            <w:r w:rsidRPr="004E516E">
                              <w:rPr>
                                <w:rFonts w:cs="Arial"/>
                                <w:szCs w:val="18"/>
                              </w:rPr>
                              <w:t xml:space="preserve"> in women and </w:t>
                            </w:r>
                            <w:r w:rsidRPr="00BC0990">
                              <w:rPr>
                                <w:rFonts w:eastAsiaTheme="minorEastAsia" w:cs="Arial"/>
                                <w:szCs w:val="18"/>
                                <w:lang w:eastAsia="en-GB"/>
                              </w:rPr>
                              <w:t>21.31%</w:t>
                            </w:r>
                            <w:r w:rsidRPr="004E516E">
                              <w:rPr>
                                <w:rFonts w:cs="Arial"/>
                                <w:szCs w:val="18"/>
                              </w:rPr>
                              <w:t xml:space="preserve"> in men). When compared with the best level of sustainable and equitable wellbeing, the present annual excess mortality rises to </w:t>
                            </w:r>
                            <w:r w:rsidRPr="00BC0990">
                              <w:rPr>
                                <w:rFonts w:eastAsiaTheme="minorEastAsia" w:cs="Arial"/>
                                <w:szCs w:val="18"/>
                                <w:lang w:eastAsia="en-GB"/>
                              </w:rPr>
                              <w:t>640</w:t>
                            </w:r>
                            <w:r w:rsidRPr="004E516E">
                              <w:rPr>
                                <w:rFonts w:cs="Arial"/>
                                <w:szCs w:val="18"/>
                              </w:rPr>
                              <w:t xml:space="preserve">, </w:t>
                            </w:r>
                            <w:r w:rsidRPr="00BC0990">
                              <w:rPr>
                                <w:rFonts w:eastAsiaTheme="minorEastAsia" w:cs="Arial"/>
                                <w:szCs w:val="18"/>
                                <w:lang w:eastAsia="en-GB"/>
                              </w:rPr>
                              <w:t>35.86%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C0990">
                              <w:rPr>
                                <w:rFonts w:eastAsiaTheme="minorEastAsia" w:cs="Arial"/>
                                <w:szCs w:val="18"/>
                                <w:lang w:eastAsia="en-GB"/>
                              </w:rPr>
                              <w:t>74.35</w:t>
                            </w:r>
                            <w:r w:rsidRPr="004E516E">
                              <w:rPr>
                                <w:rFonts w:cs="Arial"/>
                                <w:szCs w:val="18"/>
                              </w:rPr>
                              <w:t xml:space="preserve"> life years, and ranks </w:t>
                            </w:r>
                            <w:r w:rsidRPr="00BC0990">
                              <w:rPr>
                                <w:rFonts w:eastAsiaTheme="minorEastAsia" w:cs="Arial"/>
                                <w:szCs w:val="18"/>
                                <w:lang w:eastAsia="en-GB"/>
                              </w:rPr>
                              <w:t>47</w:t>
                            </w:r>
                            <w:r>
                              <w:rPr>
                                <w:rFonts w:cs="Arial"/>
                                <w:szCs w:val="18"/>
                              </w:rPr>
                              <w:t xml:space="preserve"> in the worl</w:t>
                            </w:r>
                            <w:r w:rsidRPr="004E516E">
                              <w:rPr>
                                <w:rFonts w:cs="Arial"/>
                                <w:szCs w:val="18"/>
                              </w:rPr>
                              <w:t>d.</w:t>
                            </w:r>
                          </w:p>
                          <w:p w:rsidR="00BC0990" w:rsidRDefault="00BC0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C0990" w:rsidRDefault="00BC0990" w:rsidP="00AF4B75">
                      <w:pPr>
                        <w:widowControl w:val="0"/>
                        <w:spacing w:after="0"/>
                        <w:rPr>
                          <w:rFonts w:cs="Arial"/>
                          <w:szCs w:val="18"/>
                        </w:rPr>
                      </w:pPr>
                      <w:r w:rsidRPr="004E516E">
                        <w:rPr>
                          <w:rFonts w:cs="Arial"/>
                          <w:szCs w:val="18"/>
                        </w:rPr>
                        <w:t xml:space="preserve">In summary, the equity profile of </w:t>
                      </w:r>
                      <w:proofErr w:type="gramStart"/>
                      <w:r w:rsidRPr="00BC0990">
                        <w:rPr>
                          <w:rFonts w:eastAsiaTheme="minorEastAsia" w:cs="Arial"/>
                          <w:szCs w:val="18"/>
                          <w:lang w:eastAsia="en-GB"/>
                        </w:rPr>
                        <w:t>Belize</w:t>
                      </w:r>
                      <w:r w:rsidRPr="004E516E">
                        <w:rPr>
                          <w:rFonts w:cs="Arial"/>
                          <w:szCs w:val="18"/>
                        </w:rPr>
                        <w:t>,</w:t>
                      </w:r>
                      <w:proofErr w:type="gramEnd"/>
                      <w:r w:rsidRPr="004E516E">
                        <w:rPr>
                          <w:rFonts w:cs="Arial"/>
                          <w:szCs w:val="18"/>
                        </w:rPr>
                        <w:t xml:space="preserve"> reveals that with </w:t>
                      </w:r>
                      <w:r w:rsidRPr="00BC0990">
                        <w:rPr>
                          <w:rFonts w:eastAsiaTheme="minorEastAsia" w:cs="Arial"/>
                          <w:szCs w:val="18"/>
                          <w:lang w:eastAsia="en-GB"/>
                        </w:rPr>
                        <w:t>232%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C0990">
                        <w:rPr>
                          <w:rFonts w:eastAsiaTheme="minorEastAsia" w:cs="Arial"/>
                          <w:szCs w:val="18"/>
                          <w:lang w:eastAsia="en-GB"/>
                        </w:rPr>
                        <w:t>328%</w:t>
                      </w:r>
                      <w:r w:rsidRPr="004E516E">
                        <w:rPr>
                          <w:rFonts w:cs="Arial"/>
                          <w:szCs w:val="18"/>
                        </w:rPr>
                        <w:t xml:space="preserve"> of the global recycling threshold (</w:t>
                      </w:r>
                      <w:r w:rsidRPr="00BC0990">
                        <w:rPr>
                          <w:rFonts w:eastAsiaTheme="minorEastAsia" w:cs="Arial"/>
                          <w:szCs w:val="18"/>
                          <w:lang w:eastAsia="en-GB"/>
                        </w:rPr>
                        <w:t>non-sustainable</w:t>
                      </w:r>
                      <w:r w:rsidRPr="004E516E">
                        <w:rPr>
                          <w:rFonts w:cs="Arial"/>
                          <w:szCs w:val="18"/>
                        </w:rPr>
                        <w:t xml:space="preserve">) and </w:t>
                      </w:r>
                      <w:r w:rsidRPr="00BC0990">
                        <w:rPr>
                          <w:rFonts w:eastAsiaTheme="minorEastAsia" w:cs="Arial"/>
                          <w:iCs/>
                          <w:lang w:eastAsia="en-GB"/>
                        </w:rPr>
                        <w:t>also</w:t>
                      </w:r>
                      <w:r w:rsidRPr="00AF4B75">
                        <w:rPr>
                          <w:rFonts w:cs="Arial"/>
                          <w:szCs w:val="18"/>
                        </w:rPr>
                        <w:t xml:space="preserve"> </w:t>
                      </w:r>
                      <w:r w:rsidRPr="00BC0990">
                        <w:rPr>
                          <w:rFonts w:eastAsiaTheme="minorEastAsia" w:cs="Arial"/>
                          <w:szCs w:val="18"/>
                          <w:lang w:eastAsia="en-GB"/>
                        </w:rPr>
                        <w:t>142%</w:t>
                      </w:r>
                      <w:r w:rsidRPr="004E516E">
                        <w:rPr>
                          <w:rFonts w:cs="Arial"/>
                          <w:szCs w:val="18"/>
                        </w:rPr>
                        <w:t xml:space="preserve"> of its national recycling capacity (</w:t>
                      </w:r>
                      <w:r w:rsidRPr="00BC0990">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C0990">
                        <w:rPr>
                          <w:rFonts w:eastAsiaTheme="minorEastAsia" w:cs="Arial"/>
                          <w:szCs w:val="18"/>
                          <w:lang w:eastAsia="en-GB"/>
                        </w:rPr>
                        <w:t>58%</w:t>
                      </w:r>
                      <w:r w:rsidRPr="004E516E">
                        <w:rPr>
                          <w:rFonts w:cs="Arial"/>
                          <w:szCs w:val="18"/>
                        </w:rPr>
                        <w:t xml:space="preserve"> of the ethical threshold, therefore </w:t>
                      </w:r>
                      <w:r w:rsidRPr="00BC0990">
                        <w:rPr>
                          <w:rFonts w:eastAsiaTheme="minorEastAsia" w:cs="Arial"/>
                          <w:szCs w:val="18"/>
                          <w:lang w:eastAsia="en-GB"/>
                        </w:rPr>
                        <w:t>preventing</w:t>
                      </w:r>
                      <w:r w:rsidRPr="004E516E">
                        <w:rPr>
                          <w:rFonts w:cs="Arial"/>
                          <w:szCs w:val="18"/>
                        </w:rPr>
                        <w:t xml:space="preserve"> global warming. </w:t>
                      </w:r>
                      <w:r w:rsidRPr="00BC0990">
                        <w:rPr>
                          <w:rFonts w:cs="Arial"/>
                          <w:szCs w:val="18"/>
                        </w:rPr>
                        <w:t>Belize</w:t>
                      </w:r>
                      <w:r w:rsidRPr="004E516E">
                        <w:rPr>
                          <w:rFonts w:cs="Arial"/>
                          <w:szCs w:val="18"/>
                        </w:rPr>
                        <w:t xml:space="preserve">’s GDP CV pc is </w:t>
                      </w:r>
                      <w:r w:rsidRPr="00BC0990">
                        <w:rPr>
                          <w:rFonts w:eastAsiaTheme="minorEastAsia" w:cs="Arial"/>
                          <w:szCs w:val="18"/>
                          <w:lang w:eastAsia="en-GB"/>
                        </w:rPr>
                        <w:t>44%</w:t>
                      </w:r>
                      <w:r w:rsidRPr="004E516E">
                        <w:rPr>
                          <w:rFonts w:cs="Arial"/>
                          <w:szCs w:val="18"/>
                        </w:rPr>
                        <w:t xml:space="preserve"> of the international average and </w:t>
                      </w:r>
                      <w:r w:rsidRPr="00BC0990">
                        <w:rPr>
                          <w:rFonts w:eastAsiaTheme="minorEastAsia" w:cs="Arial"/>
                          <w:szCs w:val="18"/>
                          <w:lang w:eastAsia="en-GB"/>
                        </w:rPr>
                        <w:t>123%</w:t>
                      </w:r>
                      <w:r w:rsidRPr="004E516E">
                        <w:rPr>
                          <w:rFonts w:cs="Arial"/>
                          <w:szCs w:val="18"/>
                        </w:rPr>
                        <w:t xml:space="preserve"> of the HRS reference. Life expectancy is </w:t>
                      </w:r>
                      <w:r w:rsidRPr="00BC0990">
                        <w:rPr>
                          <w:rFonts w:eastAsiaTheme="minorEastAsia" w:cs="Arial"/>
                          <w:szCs w:val="18"/>
                          <w:lang w:eastAsia="en-GB"/>
                        </w:rPr>
                        <w:t>1.90</w:t>
                      </w:r>
                      <w:r w:rsidRPr="004E516E">
                        <w:rPr>
                          <w:rFonts w:cs="Arial"/>
                          <w:szCs w:val="18"/>
                        </w:rPr>
                        <w:t xml:space="preserve"> years </w:t>
                      </w:r>
                      <w:r w:rsidRPr="00BC0990">
                        <w:rPr>
                          <w:rFonts w:eastAsiaTheme="minorEastAsia" w:cs="Arial"/>
                          <w:szCs w:val="18"/>
                          <w:lang w:eastAsia="en-GB"/>
                        </w:rPr>
                        <w:t>above</w:t>
                      </w:r>
                      <w:r w:rsidRPr="004E516E">
                        <w:rPr>
                          <w:rFonts w:cs="Arial"/>
                          <w:szCs w:val="18"/>
                        </w:rPr>
                        <w:t xml:space="preserve"> the international average (</w:t>
                      </w:r>
                      <w:r w:rsidRPr="00BC0990">
                        <w:rPr>
                          <w:rFonts w:eastAsiaTheme="minorEastAsia" w:cs="Arial"/>
                          <w:szCs w:val="18"/>
                          <w:lang w:eastAsia="en-GB"/>
                        </w:rPr>
                        <w:t>2.75</w:t>
                      </w:r>
                      <w:r w:rsidRPr="004E516E">
                        <w:rPr>
                          <w:rFonts w:cs="Arial"/>
                          <w:szCs w:val="18"/>
                        </w:rPr>
                        <w:t xml:space="preserve"> in women and </w:t>
                      </w:r>
                      <w:r w:rsidRPr="00BC0990">
                        <w:rPr>
                          <w:rFonts w:eastAsiaTheme="minorEastAsia" w:cs="Arial"/>
                          <w:szCs w:val="18"/>
                          <w:lang w:eastAsia="en-GB"/>
                        </w:rPr>
                        <w:t>1.06</w:t>
                      </w:r>
                      <w:r w:rsidRPr="004E516E">
                        <w:rPr>
                          <w:rFonts w:cs="Arial"/>
                          <w:szCs w:val="18"/>
                        </w:rPr>
                        <w:t xml:space="preserve"> </w:t>
                      </w:r>
                      <w:r w:rsidRPr="00BC0990">
                        <w:rPr>
                          <w:rFonts w:eastAsiaTheme="minorEastAsia" w:cs="Arial"/>
                          <w:szCs w:val="18"/>
                          <w:lang w:eastAsia="en-GB"/>
                        </w:rPr>
                        <w:t>above</w:t>
                      </w:r>
                      <w:r w:rsidRPr="004E516E">
                        <w:rPr>
                          <w:rFonts w:cs="Arial"/>
                          <w:szCs w:val="18"/>
                        </w:rPr>
                        <w:t xml:space="preserve"> in men) with a proportional sex difference of </w:t>
                      </w:r>
                      <w:r w:rsidRPr="00BC0990">
                        <w:rPr>
                          <w:rFonts w:eastAsiaTheme="minorEastAsia" w:cs="Arial"/>
                          <w:szCs w:val="18"/>
                          <w:lang w:eastAsia="en-GB"/>
                        </w:rPr>
                        <w:t>7.98%</w:t>
                      </w:r>
                      <w:r w:rsidRPr="004E516E">
                        <w:rPr>
                          <w:rFonts w:cs="Arial"/>
                          <w:szCs w:val="18"/>
                        </w:rPr>
                        <w:t xml:space="preserve"> higher in women, </w:t>
                      </w:r>
                      <w:r w:rsidRPr="00BC0990">
                        <w:rPr>
                          <w:rFonts w:eastAsiaTheme="minorEastAsia" w:cs="Arial"/>
                          <w:szCs w:val="18"/>
                          <w:lang w:eastAsia="en-GB"/>
                        </w:rPr>
                        <w:t>higher</w:t>
                      </w:r>
                      <w:r w:rsidRPr="004E516E">
                        <w:rPr>
                          <w:rFonts w:cs="Arial"/>
                          <w:szCs w:val="18"/>
                        </w:rPr>
                        <w:t xml:space="preserve"> than the world’s average. The present annual excess mortality in </w:t>
                      </w:r>
                      <w:r w:rsidRPr="00BC0990">
                        <w:rPr>
                          <w:rFonts w:eastAsiaTheme="minorEastAsia" w:cs="Arial"/>
                          <w:szCs w:val="18"/>
                          <w:lang w:eastAsia="en-GB"/>
                        </w:rPr>
                        <w:t>Belize</w:t>
                      </w:r>
                      <w:r w:rsidRPr="004E516E">
                        <w:rPr>
                          <w:rFonts w:cs="Arial"/>
                          <w:szCs w:val="18"/>
                        </w:rPr>
                        <w:t xml:space="preserve">, in relation to HRS reference (feasible for all), is of </w:t>
                      </w:r>
                      <w:r w:rsidRPr="00BC0990">
                        <w:rPr>
                          <w:rFonts w:eastAsiaTheme="minorEastAsia" w:cs="Arial"/>
                          <w:szCs w:val="18"/>
                          <w:lang w:eastAsia="en-GB"/>
                        </w:rPr>
                        <w:t>425</w:t>
                      </w:r>
                      <w:r w:rsidRPr="004E516E">
                        <w:rPr>
                          <w:rFonts w:cs="Arial"/>
                          <w:szCs w:val="18"/>
                        </w:rPr>
                        <w:t xml:space="preserve"> (</w:t>
                      </w:r>
                      <w:r w:rsidRPr="00BC0990">
                        <w:rPr>
                          <w:rFonts w:eastAsiaTheme="minorEastAsia" w:cs="Arial"/>
                          <w:szCs w:val="18"/>
                          <w:lang w:eastAsia="en-GB"/>
                        </w:rPr>
                        <w:t>192</w:t>
                      </w:r>
                      <w:r w:rsidRPr="004E516E">
                        <w:rPr>
                          <w:rFonts w:cs="Arial"/>
                          <w:szCs w:val="18"/>
                        </w:rPr>
                        <w:t xml:space="preserve"> in women and </w:t>
                      </w:r>
                      <w:r w:rsidRPr="00BC0990">
                        <w:rPr>
                          <w:rFonts w:eastAsiaTheme="minorEastAsia" w:cs="Arial"/>
                          <w:szCs w:val="18"/>
                          <w:lang w:eastAsia="en-GB"/>
                        </w:rPr>
                        <w:t>233</w:t>
                      </w:r>
                      <w:r w:rsidRPr="004E516E">
                        <w:rPr>
                          <w:rFonts w:cs="Arial"/>
                          <w:szCs w:val="18"/>
                        </w:rPr>
                        <w:t xml:space="preserve"> in men), meaning </w:t>
                      </w:r>
                      <w:r w:rsidRPr="00BC0990">
                        <w:rPr>
                          <w:rFonts w:eastAsiaTheme="minorEastAsia" w:cs="Arial"/>
                          <w:szCs w:val="18"/>
                          <w:lang w:eastAsia="en-GB"/>
                        </w:rPr>
                        <w:t>24.56%</w:t>
                      </w:r>
                      <w:r>
                        <w:rPr>
                          <w:rFonts w:cs="Arial"/>
                          <w:szCs w:val="18"/>
                        </w:rPr>
                        <w:t xml:space="preserve"> </w:t>
                      </w:r>
                      <w:r w:rsidRPr="004E516E">
                        <w:rPr>
                          <w:rFonts w:cs="Arial"/>
                          <w:szCs w:val="18"/>
                        </w:rPr>
                        <w:t>of all deaths (</w:t>
                      </w:r>
                      <w:r w:rsidRPr="00BC0990">
                        <w:rPr>
                          <w:rFonts w:eastAsiaTheme="minorEastAsia" w:cs="Arial"/>
                          <w:szCs w:val="18"/>
                          <w:lang w:eastAsia="en-GB"/>
                        </w:rPr>
                        <w:t>27.80%</w:t>
                      </w:r>
                      <w:r w:rsidRPr="004E516E">
                        <w:rPr>
                          <w:rFonts w:cs="Arial"/>
                          <w:szCs w:val="18"/>
                        </w:rPr>
                        <w:t xml:space="preserve"> in women and </w:t>
                      </w:r>
                      <w:r w:rsidRPr="00BC0990">
                        <w:rPr>
                          <w:rFonts w:eastAsiaTheme="minorEastAsia" w:cs="Arial"/>
                          <w:szCs w:val="18"/>
                          <w:lang w:eastAsia="en-GB"/>
                        </w:rPr>
                        <w:t>21.31%</w:t>
                      </w:r>
                      <w:r w:rsidRPr="004E516E">
                        <w:rPr>
                          <w:rFonts w:cs="Arial"/>
                          <w:szCs w:val="18"/>
                        </w:rPr>
                        <w:t xml:space="preserve"> in men). When compared with the best level of sustainable and equitable wellbeing, the present annual excess mortality rises to </w:t>
                      </w:r>
                      <w:r w:rsidRPr="00BC0990">
                        <w:rPr>
                          <w:rFonts w:eastAsiaTheme="minorEastAsia" w:cs="Arial"/>
                          <w:szCs w:val="18"/>
                          <w:lang w:eastAsia="en-GB"/>
                        </w:rPr>
                        <w:t>640</w:t>
                      </w:r>
                      <w:r w:rsidRPr="004E516E">
                        <w:rPr>
                          <w:rFonts w:cs="Arial"/>
                          <w:szCs w:val="18"/>
                        </w:rPr>
                        <w:t xml:space="preserve">, </w:t>
                      </w:r>
                      <w:r w:rsidRPr="00BC0990">
                        <w:rPr>
                          <w:rFonts w:eastAsiaTheme="minorEastAsia" w:cs="Arial"/>
                          <w:szCs w:val="18"/>
                          <w:lang w:eastAsia="en-GB"/>
                        </w:rPr>
                        <w:t>35.86%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C0990">
                        <w:rPr>
                          <w:rFonts w:eastAsiaTheme="minorEastAsia" w:cs="Arial"/>
                          <w:szCs w:val="18"/>
                          <w:lang w:eastAsia="en-GB"/>
                        </w:rPr>
                        <w:t>74.35</w:t>
                      </w:r>
                      <w:r w:rsidRPr="004E516E">
                        <w:rPr>
                          <w:rFonts w:cs="Arial"/>
                          <w:szCs w:val="18"/>
                        </w:rPr>
                        <w:t xml:space="preserve"> life years, and ranks </w:t>
                      </w:r>
                      <w:r w:rsidRPr="00BC0990">
                        <w:rPr>
                          <w:rFonts w:eastAsiaTheme="minorEastAsia" w:cs="Arial"/>
                          <w:szCs w:val="18"/>
                          <w:lang w:eastAsia="en-GB"/>
                        </w:rPr>
                        <w:t>47</w:t>
                      </w:r>
                      <w:r>
                        <w:rPr>
                          <w:rFonts w:cs="Arial"/>
                          <w:szCs w:val="18"/>
                        </w:rPr>
                        <w:t xml:space="preserve"> in the worl</w:t>
                      </w:r>
                      <w:r w:rsidRPr="004E516E">
                        <w:rPr>
                          <w:rFonts w:cs="Arial"/>
                          <w:szCs w:val="18"/>
                        </w:rPr>
                        <w:t>d.</w:t>
                      </w:r>
                    </w:p>
                    <w:p w:rsidR="00BC0990" w:rsidRDefault="00BC099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0C" w:rsidRDefault="0042090C" w:rsidP="00132816">
      <w:pPr>
        <w:spacing w:after="0" w:line="240" w:lineRule="auto"/>
      </w:pPr>
      <w:r>
        <w:separator/>
      </w:r>
    </w:p>
  </w:endnote>
  <w:endnote w:type="continuationSeparator" w:id="0">
    <w:p w:rsidR="0042090C" w:rsidRDefault="0042090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0C" w:rsidRDefault="0042090C" w:rsidP="00132816">
      <w:pPr>
        <w:spacing w:after="0" w:line="240" w:lineRule="auto"/>
      </w:pPr>
      <w:r>
        <w:separator/>
      </w:r>
    </w:p>
  </w:footnote>
  <w:footnote w:type="continuationSeparator" w:id="0">
    <w:p w:rsidR="0042090C" w:rsidRDefault="0042090C" w:rsidP="00132816">
      <w:pPr>
        <w:spacing w:after="0" w:line="240" w:lineRule="auto"/>
      </w:pPr>
      <w:r>
        <w:continuationSeparator/>
      </w:r>
    </w:p>
  </w:footnote>
  <w:footnote w:id="1">
    <w:p w:rsidR="00C14780" w:rsidRPr="007754E9" w:rsidRDefault="00C14780" w:rsidP="00C14780">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14780" w:rsidRPr="007754E9" w:rsidRDefault="00C14780" w:rsidP="00C14780">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14780" w:rsidRPr="00DD01AF" w:rsidRDefault="00C14780" w:rsidP="00C14780">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14780" w:rsidRPr="007754E9" w:rsidRDefault="00C14780" w:rsidP="00C14780">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14780" w:rsidRPr="007754E9" w:rsidRDefault="00C14780" w:rsidP="00C14780">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C0990" w:rsidRPr="00FF618F" w:rsidRDefault="00BC099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C0990" w:rsidRPr="00FF618F" w:rsidRDefault="00BC099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C0990" w:rsidRDefault="00BC099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C2265"/>
    <w:rsid w:val="000D6D3C"/>
    <w:rsid w:val="00101764"/>
    <w:rsid w:val="00115306"/>
    <w:rsid w:val="00132816"/>
    <w:rsid w:val="00140BB3"/>
    <w:rsid w:val="00166739"/>
    <w:rsid w:val="00172B87"/>
    <w:rsid w:val="00182CE6"/>
    <w:rsid w:val="0018380D"/>
    <w:rsid w:val="001B0213"/>
    <w:rsid w:val="001B1D52"/>
    <w:rsid w:val="0022280C"/>
    <w:rsid w:val="00230930"/>
    <w:rsid w:val="00247AE4"/>
    <w:rsid w:val="00251CC5"/>
    <w:rsid w:val="002809ED"/>
    <w:rsid w:val="00310104"/>
    <w:rsid w:val="003330BF"/>
    <w:rsid w:val="00357BDA"/>
    <w:rsid w:val="00362EE5"/>
    <w:rsid w:val="00370D01"/>
    <w:rsid w:val="00377557"/>
    <w:rsid w:val="003866CB"/>
    <w:rsid w:val="003B32B1"/>
    <w:rsid w:val="003C30ED"/>
    <w:rsid w:val="003C7F9A"/>
    <w:rsid w:val="003D5845"/>
    <w:rsid w:val="0040139C"/>
    <w:rsid w:val="004070D3"/>
    <w:rsid w:val="0042090C"/>
    <w:rsid w:val="00435A00"/>
    <w:rsid w:val="004607FC"/>
    <w:rsid w:val="004728CB"/>
    <w:rsid w:val="004856C3"/>
    <w:rsid w:val="004948C5"/>
    <w:rsid w:val="004B0385"/>
    <w:rsid w:val="004B6DAE"/>
    <w:rsid w:val="004C7C3C"/>
    <w:rsid w:val="004E1379"/>
    <w:rsid w:val="004E516E"/>
    <w:rsid w:val="004E6A08"/>
    <w:rsid w:val="00504C4E"/>
    <w:rsid w:val="00550B0F"/>
    <w:rsid w:val="005874CA"/>
    <w:rsid w:val="005876FD"/>
    <w:rsid w:val="00597E52"/>
    <w:rsid w:val="005B3AC9"/>
    <w:rsid w:val="005C4322"/>
    <w:rsid w:val="005C4DF7"/>
    <w:rsid w:val="005D78C1"/>
    <w:rsid w:val="005F6310"/>
    <w:rsid w:val="0060009F"/>
    <w:rsid w:val="00607565"/>
    <w:rsid w:val="00636F55"/>
    <w:rsid w:val="00646F67"/>
    <w:rsid w:val="00647314"/>
    <w:rsid w:val="00691D14"/>
    <w:rsid w:val="006937B4"/>
    <w:rsid w:val="00697F5B"/>
    <w:rsid w:val="006A049C"/>
    <w:rsid w:val="006B4C7E"/>
    <w:rsid w:val="006B5A81"/>
    <w:rsid w:val="00714D31"/>
    <w:rsid w:val="0071566C"/>
    <w:rsid w:val="00740091"/>
    <w:rsid w:val="007656FD"/>
    <w:rsid w:val="007754E9"/>
    <w:rsid w:val="007767E5"/>
    <w:rsid w:val="007B0146"/>
    <w:rsid w:val="007B32CA"/>
    <w:rsid w:val="007C2EBD"/>
    <w:rsid w:val="00805B89"/>
    <w:rsid w:val="008224FD"/>
    <w:rsid w:val="00853993"/>
    <w:rsid w:val="0087114D"/>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9445E"/>
    <w:rsid w:val="00A94922"/>
    <w:rsid w:val="00AD744D"/>
    <w:rsid w:val="00AF4B75"/>
    <w:rsid w:val="00B24639"/>
    <w:rsid w:val="00B418EB"/>
    <w:rsid w:val="00B634DA"/>
    <w:rsid w:val="00B86CD0"/>
    <w:rsid w:val="00B871B1"/>
    <w:rsid w:val="00BA3D4A"/>
    <w:rsid w:val="00BA74EF"/>
    <w:rsid w:val="00BB1CDC"/>
    <w:rsid w:val="00BC0230"/>
    <w:rsid w:val="00BC0990"/>
    <w:rsid w:val="00BD249A"/>
    <w:rsid w:val="00BE4F85"/>
    <w:rsid w:val="00C02840"/>
    <w:rsid w:val="00C03058"/>
    <w:rsid w:val="00C101FE"/>
    <w:rsid w:val="00C14780"/>
    <w:rsid w:val="00C148B4"/>
    <w:rsid w:val="00C17B63"/>
    <w:rsid w:val="00C35543"/>
    <w:rsid w:val="00C443DA"/>
    <w:rsid w:val="00C47026"/>
    <w:rsid w:val="00C55C50"/>
    <w:rsid w:val="00C7100F"/>
    <w:rsid w:val="00C71410"/>
    <w:rsid w:val="00C8195B"/>
    <w:rsid w:val="00CC316C"/>
    <w:rsid w:val="00CD31B8"/>
    <w:rsid w:val="00CD72DD"/>
    <w:rsid w:val="00CE7059"/>
    <w:rsid w:val="00D15356"/>
    <w:rsid w:val="00D71805"/>
    <w:rsid w:val="00D84192"/>
    <w:rsid w:val="00D90AA8"/>
    <w:rsid w:val="00DD01AF"/>
    <w:rsid w:val="00DE1D9F"/>
    <w:rsid w:val="00DE2A9F"/>
    <w:rsid w:val="00DF2BD4"/>
    <w:rsid w:val="00E01879"/>
    <w:rsid w:val="00E057E8"/>
    <w:rsid w:val="00E2114C"/>
    <w:rsid w:val="00E24629"/>
    <w:rsid w:val="00E60FF0"/>
    <w:rsid w:val="00E63163"/>
    <w:rsid w:val="00E6469C"/>
    <w:rsid w:val="00E819B4"/>
    <w:rsid w:val="00E86A85"/>
    <w:rsid w:val="00E963F0"/>
    <w:rsid w:val="00EA013D"/>
    <w:rsid w:val="00EB1DC5"/>
    <w:rsid w:val="00EB2495"/>
    <w:rsid w:val="00EB78B7"/>
    <w:rsid w:val="00EC579A"/>
    <w:rsid w:val="00EC6F6B"/>
    <w:rsid w:val="00F13C16"/>
    <w:rsid w:val="00F15F93"/>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949D37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3F8F-0859-47B4-BF80-E2C1ED2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2021-12-08T12:41:00Z</dcterms:created>
  <dcterms:modified xsi:type="dcterms:W3CDTF">2021-12-11T12:03:00Z</dcterms:modified>
</cp:coreProperties>
</file>